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版本号：BZ.GK-政采-202201</w:t>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640" w:firstLine="566"/>
        <w:jc w:val="center"/>
        <w:spacing w:line="360" w:lineRule="auto"/>
        <w:rPr>
          <w:rFonts w:hint="eastAsia" w:ascii="宋体" w:hAnsi="宋体" w:cs="宋体"/>
          <w:b/>
          <w:color w:val="000000" w:themeColor="text1"/>
          <w:sz w:val="52"/>
          <w:szCs w:val="52"/>
          <w:highlight w:val="none"/>
          <w:lang w:eastAsia="zh-CN"/>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南京鼓楼医院</w:t>
      </w:r>
      <w:r/>
    </w:p>
    <w:p>
      <w:pPr>
        <w:ind w:right="640" w:firstLine="566"/>
        <w:jc w:val="center"/>
        <w:spacing w:line="360" w:lineRule="auto"/>
        <w:rPr>
          <w:rFonts w:hint="default" w:hAnsi="宋体" w:cs="宋体"/>
          <w:b/>
          <w:color w:val="000000" w:themeColor="text1"/>
          <w:sz w:val="52"/>
          <w:szCs w:val="52"/>
          <w:highlight w:val="none"/>
          <w:lang w:val="en-US" w:eastAsia="zh-CN"/>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新建食堂蒸汽发生器及配套设施采购</w:t>
      </w:r>
      <w:r>
        <w:rPr>
          <w:rFonts w:hint="eastAsia" w:ascii="宋体" w:hAnsi="宋体" w:cs="宋体"/>
          <w:b/>
          <w:color w:val="000000" w:themeColor="text1"/>
          <w:sz w:val="52"/>
          <w:szCs w:val="52"/>
          <w:highlight w:val="none"/>
          <w:lang w:val="en-US" w:eastAsia="zh-CN"/>
          <w14:textFill>
            <w14:solidFill>
              <w14:schemeClr w14:val="tx1"/>
            </w14:solidFill>
          </w14:textFill>
        </w:rPr>
        <w:t xml:space="preserve">项目</w:t>
      </w:r>
      <w:r/>
    </w:p>
    <w:p>
      <w:pPr>
        <w:pStyle w:val="846"/>
        <w:ind w:firstLine="1493"/>
        <w:jc w:val="center"/>
        <w:rPr>
          <w:rFonts w:hint="eastAsia" w:hAnsi="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r>
      <w:r/>
    </w:p>
    <w:p>
      <w:pPr>
        <w:pStyle w:val="846"/>
        <w:ind w:left="1680" w:firstLine="420"/>
        <w:jc w:val="both"/>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6"/>
        <w:jc w:val="center"/>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JSZC-320100-JITC-G2025-0415</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二O二</w:t>
      </w:r>
      <w:r>
        <w:rPr>
          <w:rFonts w:hint="eastAsia" w:ascii="宋体" w:hAnsi="宋体" w:cs="宋体"/>
          <w:b/>
          <w:color w:val="000000" w:themeColor="text1"/>
          <w:sz w:val="32"/>
          <w:highlight w:val="none"/>
          <w:lang w:val="en-US" w:eastAsia="zh-CN"/>
          <w14:textFill>
            <w14:solidFill>
              <w14:schemeClr w14:val="tx1"/>
            </w14:solidFill>
          </w14:textFill>
        </w:rPr>
        <w:t xml:space="preserve">五</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十二</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7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7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71"/>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71"/>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 xml:space="preserve">1</w:t>
      </w:r>
      <w:r/>
    </w:p>
    <w:p>
      <w:pPr>
        <w:pStyle w:val="107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71"/>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ind w:firstLine="569"/>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63"/>
        <w:ind w:firstLine="3213"/>
        <w:jc w:val="both"/>
        <w:rPr>
          <w:rFonts w:hint="eastAsia" w:ascii="宋体" w:hAnsi="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南京鼓楼医院新建食堂蒸汽发生器及配套设施采购项目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15</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JSZC-320100-JITC-G2025-0415</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南京鼓楼医院新建食堂蒸汽发生器及配套设施采购项目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人民币250</w:t>
      </w:r>
      <w:r>
        <w:rPr>
          <w:rFonts w:hint="eastAsia" w:ascii="宋体" w:hAnsi="宋体" w:cs="宋体"/>
          <w:bCs/>
          <w:color w:val="000000" w:themeColor="text1"/>
          <w:szCs w:val="21"/>
          <w:highlight w:val="none"/>
          <w14:textFill>
            <w14:solidFill>
              <w14:schemeClr w14:val="tx1"/>
            </w14:solidFill>
          </w14:textFill>
        </w:rPr>
        <w:t xml:space="preserve">万。</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240</w:t>
      </w:r>
      <w:r>
        <w:rPr>
          <w:rFonts w:hint="eastAsia" w:ascii="宋体" w:hAnsi="宋体" w:cs="宋体"/>
          <w:b/>
          <w:bCs w:val="0"/>
          <w:color w:val="000000" w:themeColor="text1"/>
          <w:szCs w:val="21"/>
          <w:highlight w:val="none"/>
          <w14:textFill>
            <w14:solidFill>
              <w14:schemeClr w14:val="tx1"/>
            </w14:solidFill>
          </w14:textFill>
        </w:rPr>
        <w:t xml:space="preserve">万元（投标人投标报价不得超过上述限价金额，否则将作无效标处理）。</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w:t>
      </w:r>
      <w:r>
        <w:rPr>
          <w:rFonts w:hint="eastAsia" w:ascii="宋体" w:hAnsi="宋体" w:cs="宋体"/>
          <w:bCs/>
          <w:color w:val="000000" w:themeColor="text1"/>
          <w:szCs w:val="21"/>
          <w:highlight w:val="none"/>
          <w:lang w:eastAsia="zh-CN"/>
          <w14:textFill>
            <w14:solidFill>
              <w14:schemeClr w14:val="tx1"/>
            </w14:solidFill>
          </w14:textFill>
        </w:rPr>
        <w:t xml:space="preserve">新建食堂蒸汽发生器及配套设施</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1.7</w:t>
      </w:r>
      <w:r>
        <w:rPr>
          <w:rFonts w:hint="eastAsia" w:ascii="宋体" w:hAnsi="宋体" w:cs="宋体"/>
          <w:b/>
          <w:bCs/>
          <w:color w:val="000000" w:themeColor="text1"/>
          <w:szCs w:val="21"/>
          <w:highlight w:val="none"/>
          <w:lang w:val="en-US" w:eastAsia="zh-CN"/>
          <w14:textFill>
            <w14:solidFill>
              <w14:schemeClr w14:val="tx1"/>
            </w14:solidFill>
          </w14:textFill>
        </w:rPr>
        <w:t xml:space="preserve">工期</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自</w:t>
      </w:r>
      <w:r>
        <w:rPr>
          <w:rFonts w:hint="eastAsia" w:ascii="宋体" w:hAnsi="宋体" w:cs="宋体"/>
          <w:b/>
          <w:bCs/>
          <w:color w:val="000000" w:themeColor="text1"/>
          <w:szCs w:val="21"/>
          <w:highlight w:val="none"/>
          <w14:textFill>
            <w14:solidFill>
              <w14:schemeClr w14:val="tx1"/>
            </w14:solidFill>
          </w14:textFill>
        </w:rPr>
        <w:t xml:space="preserve">接到通知之日起</w:t>
      </w:r>
      <w:r>
        <w:rPr>
          <w:rFonts w:hint="eastAsia" w:ascii="宋体" w:hAnsi="宋体" w:cs="宋体"/>
          <w:b/>
          <w:bCs/>
          <w:color w:val="000000" w:themeColor="text1"/>
          <w:szCs w:val="21"/>
          <w:highlight w:val="none"/>
          <w:lang w:val="en-US" w:eastAsia="zh-CN"/>
          <w14:textFill>
            <w14:solidFill>
              <w14:schemeClr w14:val="tx1"/>
            </w14:solidFill>
          </w14:textFill>
        </w:rPr>
        <w:t xml:space="preserve">75</w:t>
      </w:r>
      <w:r>
        <w:rPr>
          <w:rFonts w:hint="eastAsia" w:ascii="宋体" w:hAnsi="宋体" w:cs="宋体"/>
          <w:b/>
          <w:bCs/>
          <w:color w:val="000000" w:themeColor="text1"/>
          <w:szCs w:val="21"/>
          <w:highlight w:val="none"/>
          <w14:textFill>
            <w14:solidFill>
              <w14:schemeClr w14:val="tx1"/>
            </w14:solidFill>
          </w14:textFill>
        </w:rPr>
        <w:t xml:space="preserve">个日历日内</w:t>
      </w:r>
      <w:r>
        <w:rPr>
          <w:rFonts w:hint="eastAsia" w:ascii="宋体" w:hAnsi="宋体" w:cs="宋体"/>
          <w:b/>
          <w:bCs/>
          <w:color w:val="000000" w:themeColor="text1"/>
          <w:szCs w:val="21"/>
          <w:highlight w:val="none"/>
          <w:lang w:val="en-US" w:eastAsia="zh-CN"/>
          <w14:textFill>
            <w14:solidFill>
              <w14:schemeClr w14:val="tx1"/>
            </w14:solidFill>
          </w14:textFill>
        </w:rPr>
        <w:t xml:space="preserve">完成。</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6347853"/>
      <w:r/>
      <w:bookmarkStart w:id="14" w:name="_Toc80792690"/>
      <w:r/>
      <w:bookmarkStart w:id="15" w:name="_Toc93909067"/>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2.1.4有依法缴纳税收和社会保障资金的良好记录，提供本次采购活动前6个月内（即</w:t>
      </w:r>
      <w:r>
        <w:rPr>
          <w:rFonts w:hint="eastAsia" w:ascii="宋体" w:hAnsi="宋体" w:cs="宋体"/>
          <w:bCs/>
          <w:color w:val="000000" w:themeColor="text1"/>
          <w:szCs w:val="21"/>
          <w:highlight w:val="none"/>
          <w:lang w:eastAsia="zh-CN"/>
          <w14:textFill>
            <w14:solidFill>
              <w14:schemeClr w14:val="tx1"/>
            </w14:solidFill>
          </w14:textFill>
        </w:rPr>
        <w:t xml:space="preserve">2025年</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lang w:eastAsia="zh-CN"/>
          <w14:textFill>
            <w14:solidFill>
              <w14:schemeClr w14:val="tx1"/>
            </w14:solidFill>
          </w14:textFill>
        </w:rPr>
        <w:t xml:space="preserve">月（含）以来</w:t>
      </w:r>
      <w:r>
        <w:rPr>
          <w:rFonts w:hint="eastAsia" w:ascii="宋体" w:hAnsi="宋体" w:cs="宋体"/>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其他资格要求：</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（1）所投压力容器设备制造商的《中华人民共和国特种设备生产许可证》复印件（许可项目含固定式压力容器：中、低压容器（D））；</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非压力容器设备制造商负责压力容器设备安装的，应在投标文件中明确压力容器安装单位，并提供压力容器安装单位的《中华人民共和国特种设备生产许可证》复印件（许可项目包含承压类特种设备安装、修理、改造）（压力容器设备制造商直接负责压力容器设备安装的，本项可不提供）。</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2026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开标地点：“苏采云”网上开标大厅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址：南京市玄武区双龙巷5号A座405房间</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025-83105762</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址：南京市雨花台区宁双路19号云密城C栋3楼305室</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高颖</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eastAsia="zh-CN"/>
          <w14:textFill>
            <w14:solidFill>
              <w14:schemeClr w14:val="tx1"/>
            </w14:solidFill>
          </w14:textFill>
        </w:rPr>
        <w:t xml:space="preserve">18805151053</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eastAsia="zh-CN"/>
          <w14:textFill>
            <w14:solidFill>
              <w14:schemeClr w14:val="tx1"/>
            </w14:solidFill>
          </w14:textFill>
        </w:rPr>
        <w:t xml:space="preserve">高颖</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eastAsia="zh-CN"/>
          <w14:textFill>
            <w14:solidFill>
              <w14:schemeClr w14:val="tx1"/>
            </w14:solidFill>
          </w14:textFill>
        </w:rPr>
        <w:t xml:space="preserve">18805151053</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8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3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9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09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09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09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tcPr>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址：南京市玄武区双龙巷5号A座405房间</w:t>
            </w:r>
            <w:r/>
          </w:p>
          <w:p>
            <w:pPr>
              <w:pStyle w:val="109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马老师</w:t>
            </w:r>
            <w:r/>
          </w:p>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ascii="宋体" w:hAnsi="宋体" w:eastAsia="宋体" w:cs="宋体"/>
                <w:color w:val="000000" w:themeColor="text1"/>
                <w:szCs w:val="21"/>
                <w:highlight w:val="none"/>
                <w:u w:val="none"/>
                <w:lang w:val="en-US" w:eastAsia="zh-CN"/>
                <w14:textFill>
                  <w14:solidFill>
                    <w14:schemeClr w14:val="tx1"/>
                  </w14:solidFill>
                </w14:textFill>
              </w:rPr>
              <w:t xml:space="preserve">025-83105762</w:t>
            </w:r>
            <w:r/>
          </w:p>
        </w:tc>
      </w:tr>
      <w:tr>
        <w:trPr>
          <w:jc w:val="center"/>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w:t>
            </w:r>
            <w:r>
              <w:rPr>
                <w:rFonts w:hint="eastAsia" w:ascii="宋体" w:hAnsi="宋体" w:cs="宋体"/>
                <w:color w:val="000000" w:themeColor="text1"/>
                <w:szCs w:val="21"/>
                <w:highlight w:val="none"/>
                <w14:textFill>
                  <w14:solidFill>
                    <w14:schemeClr w14:val="tx1"/>
                  </w14:solidFill>
                </w14:textFill>
              </w:rPr>
              <w:t xml:space="preserve">南京市雨花台区宁双路19号云密城C栋3楼305室</w:t>
            </w:r>
            <w:r/>
          </w:p>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高颖</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9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18805151053</w:t>
            </w:r>
            <w:r>
              <w:rPr>
                <w:rFonts w:hint="eastAsia"/>
                <w:color w:val="000000" w:themeColor="text1"/>
                <w:sz w:val="21"/>
                <w:szCs w:val="21"/>
                <w:highlight w:val="none"/>
                <w:lang w:val="en-US" w:bidi="ar-SA"/>
                <w14:textFill>
                  <w14:solidFill>
                    <w14:schemeClr w14:val="tx1"/>
                  </w14:solidFill>
                </w14:textFill>
              </w:rPr>
              <w:t xml:space="preserve">、18761879918、13851876930</w:t>
            </w:r>
            <w:r/>
          </w:p>
        </w:tc>
      </w:tr>
      <w:tr>
        <w:trPr>
          <w:jc w:val="center"/>
          <w:trHeight w:val="510"/>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840"/>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w:t>
            </w:r>
            <w:r>
              <w:rPr>
                <w:rFonts w:hint="eastAsia" w:ascii="宋体" w:hAnsi="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cs="宋体"/>
                <w:bCs/>
                <w:color w:val="000000" w:themeColor="text1"/>
                <w:szCs w:val="21"/>
                <w:highlight w:val="none"/>
                <w14:textFill>
                  <w14:solidFill>
                    <w14:schemeClr w14:val="tx1"/>
                  </w14:solidFill>
                </w14:textFill>
              </w:rPr>
              <w:t xml:space="preserve">需要。详见第四章《采购需求》</w:t>
            </w:r>
            <w:r/>
          </w:p>
        </w:tc>
      </w:tr>
      <w:tr>
        <w:trPr>
          <w:jc w:val="center"/>
          <w:trHeight w:val="734"/>
        </w:trPr>
        <w:tc>
          <w:tcPr>
            <w:tcW w:w="675"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09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93"/>
              <w:jc w:val="left"/>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104"/>
              <w:contextualSpacing/>
              <w:ind w:firstLine="0"/>
              <w:jc w:val="left"/>
              <w:spacing w:line="360" w:lineRule="auto"/>
              <w:rPr>
                <w:rFonts w:hint="eastAsia" w:hAnsi="宋体" w:cs="宋体"/>
                <w:b/>
                <w:color w:val="000000" w:themeColor="text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lang w:val="zh-CN"/>
                <w14:textFill>
                  <w14:solidFill>
                    <w14:schemeClr w14:val="tx1"/>
                  </w14:solidFill>
                </w14:textFill>
              </w:rPr>
              <w:t xml:space="preserve">报价为全包费用报价，报价应是本采购文件所包含确定的全部工作内容及本采购文件未说明但完成该项目必须包含的所有全包费用的价格体现。报价应包含产品生产、包装、仓储、运输装卸、保险、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09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93"/>
              <w:spacing w:line="360" w:lineRule="auto"/>
              <w:rPr>
                <w:color w:val="000000" w:themeColor="text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w:t>
            </w:r>
            <w:r/>
          </w:p>
          <w:p>
            <w:pPr>
              <w:pStyle w:val="1093"/>
              <w:spacing w:line="360" w:lineRule="auto"/>
              <w:rPr>
                <w:rFonts w:hint="default" w:eastAsia="宋体"/>
                <w:color w:val="000000" w:themeColor="text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核心产品</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详见第四章采购需求</w:t>
            </w:r>
            <w:r/>
          </w:p>
        </w:tc>
      </w:tr>
      <w:tr>
        <w:trPr>
          <w:jc w:val="center"/>
          <w:trHeight w:val="922"/>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093"/>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09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09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09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■不要求提供</w:t>
            </w:r>
            <w:r/>
          </w:p>
        </w:tc>
      </w:tr>
      <w:tr>
        <w:trPr>
          <w:jc w:val="center"/>
          <w:trHeight w:val="656"/>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846"/>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w:t>
            </w:r>
            <w:r>
              <w:rPr>
                <w:rFonts w:hint="eastAsia" w:hAnsi="宋体" w:cs="宋体"/>
                <w:bCs/>
                <w:color w:val="000000" w:themeColor="text1"/>
                <w:highlight w:val="none"/>
                <w:lang w:val="en-US" w:eastAsia="zh-CN"/>
                <w14:textFill>
                  <w14:solidFill>
                    <w14:schemeClr w14:val="tx1"/>
                  </w14:solidFill>
                </w14:textFill>
              </w:rPr>
              <w:t xml:space="preserve">前15日。</w:t>
            </w:r>
            <w:r/>
          </w:p>
          <w:p>
            <w:pPr>
              <w:pStyle w:val="84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1880515053@163.com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846"/>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1880515053@163.com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764"/>
        </w:trPr>
        <w:tc>
          <w:tcPr>
            <w:tcW w:w="675"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pStyle w:val="84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时，按计价格[2002]1980号文件货物类40%，向采购代理机构支付中标服务费，本项目按预算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09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09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846"/>
              <w:jc w:val="left"/>
              <w:spacing w:line="360" w:lineRule="auto"/>
              <w:rPr>
                <w:rFonts w:hint="eastAsia" w:eastAsia="宋体"/>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9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84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val="en-US" w:eastAsia="zh-CN"/>
                <w14:textFill>
                  <w14:solidFill>
                    <w14:schemeClr w14:val="tx1"/>
                  </w14:solidFill>
                </w14:textFill>
              </w:rPr>
              <w:t xml:space="preserve">工业</w:t>
            </w:r>
            <w:r/>
          </w:p>
        </w:tc>
      </w:tr>
      <w:tr>
        <w:trPr>
          <w:jc w:val="center"/>
          <w:trHeight w:val="656"/>
        </w:trPr>
        <w:tc>
          <w:tcPr>
            <w:tcW w:w="675"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9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9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9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93"/>
              <w:numPr>
                <w:ilvl w:val="0"/>
                <w:numId w:val="2"/>
              </w:numPr>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5</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评审过程中出现下列情形之一的，评审委员会应当启动异常低价投标（响应）审查程序：</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1．投标（响应）报价低于采购项目预算50%的，即投标（响应）报价&lt;采购项目预算×50%；</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2．投标（响应）报价低于采购项目最高限价45%的，即投标（响应）报价&lt;采购项目最高限价×45%；</w:t>
            </w:r>
            <w:r/>
          </w:p>
          <w:p>
            <w:pPr>
              <w:pStyle w:val="109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 评审委员会认定的供应商报价过低、有可能影响产品质量或者不能诚信履约的其他情形。</w:t>
            </w:r>
            <w:r/>
          </w:p>
          <w:p>
            <w:pPr>
              <w:pStyle w:val="1093"/>
              <w:numPr>
                <w:ilvl w:val="0"/>
                <w:numId w:val="0"/>
              </w:numPr>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4.</w:t>
            </w:r>
            <w:r>
              <w:rPr>
                <w:rFonts w:hint="eastAsia" w:hAnsi="宋体" w:cs="宋体"/>
                <w:bCs/>
                <w:color w:val="000000" w:themeColor="text1"/>
                <w:sz w:val="21"/>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华文仿宋" w:hAnsi="华文仿宋" w:eastAsia="华文仿宋" w:cs="华文仿宋"/>
                <w:b/>
                <w:bCs w:val="0"/>
                <w:color w:val="000000" w:themeColor="text1"/>
                <w:sz w:val="21"/>
                <w:highlight w:val="none"/>
                <w14:textFill>
                  <w14:solidFill>
                    <w14:schemeClr w14:val="tx1"/>
                  </w14:solidFill>
                </w14:textFill>
              </w:rPr>
              <w:t xml:space="preserve">★</w:t>
            </w:r>
            <w:r>
              <w:rPr>
                <w:rFonts w:hint="eastAsia" w:hAnsi="宋体" w:cs="宋体"/>
                <w:b/>
                <w:bCs w:val="0"/>
                <w:color w:val="000000" w:themeColor="text1"/>
                <w:sz w:val="21"/>
                <w:highlight w:val="none"/>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w:t>
            </w:r>
            <w:r>
              <w:rPr>
                <w:rFonts w:hint="eastAsia" w:hAnsi="宋体" w:cs="宋体"/>
                <w:bCs/>
                <w:color w:val="000000" w:themeColor="text1"/>
                <w:sz w:val="21"/>
                <w:highlight w:val="none"/>
                <w14:textFill>
                  <w14:solidFill>
                    <w14:schemeClr w14:val="tx1"/>
                  </w14:solidFill>
                </w14:textFill>
              </w:rPr>
              <w:t xml:space="preserve">审查相关情况应当在评审报告中进行记录。</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6"/>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63"/>
        <w:ind w:firstLine="569"/>
        <w:rPr>
          <w:rFonts w:hint="eastAsia" w:ascii="宋体" w:hAnsi="宋体" w:cs="宋体"/>
          <w:color w:val="000000" w:themeColor="text1"/>
          <w:highlight w:val="none"/>
          <w14:textFill>
            <w14:solidFill>
              <w14:schemeClr w14:val="tx1"/>
            </w14:solidFill>
          </w14:textFill>
        </w:rPr>
      </w:pPr>
      <w:r/>
      <w:bookmarkStart w:id="34" w:name="_Toc104560837"/>
      <w:r/>
      <w:bookmarkStart w:id="35" w:name="_Toc100905199"/>
      <w:r/>
      <w:bookmarkStart w:id="36" w:name="_Toc103848526"/>
      <w:r/>
      <w:bookmarkStart w:id="37" w:name="_Toc107246213"/>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96347862"/>
      <w:r/>
      <w:bookmarkStart w:id="41" w:name="_Toc103848528"/>
      <w:r/>
      <w:bookmarkStart w:id="42" w:name="_Toc107246215"/>
      <w:r/>
      <w:bookmarkStart w:id="43" w:name="_Toc104560839"/>
      <w:r/>
      <w:bookmarkStart w:id="44" w:name="_Toc100905201"/>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7246216"/>
      <w:r/>
      <w:bookmarkStart w:id="46" w:name="_Toc104560840"/>
      <w:r/>
      <w:bookmarkStart w:id="47" w:name="_Toc103848529"/>
      <w:r/>
      <w:bookmarkStart w:id="48" w:name="_Toc100905202"/>
      <w:r/>
      <w:bookmarkStart w:id="49" w:name="_Toc96347863"/>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0905203"/>
      <w:r/>
      <w:bookmarkStart w:id="51" w:name="_Toc103848530"/>
      <w:r/>
      <w:bookmarkStart w:id="52" w:name="_Toc107246217"/>
      <w:r/>
      <w:bookmarkStart w:id="53" w:name="_Toc96347864"/>
      <w:r/>
      <w:bookmarkStart w:id="54" w:name="_Toc104560841"/>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7246219"/>
      <w:r/>
      <w:bookmarkStart w:id="60" w:name="_Toc103848532"/>
      <w:r/>
      <w:bookmarkStart w:id="61" w:name="_Toc100905205"/>
      <w:r/>
      <w:bookmarkStart w:id="62" w:name="_Toc104560843"/>
      <w:r/>
      <w:bookmarkStart w:id="63" w:name="_Toc9634786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3848533"/>
      <w:r/>
      <w:bookmarkStart w:id="66" w:name="_Toc96347866"/>
      <w:r/>
      <w:bookmarkStart w:id="67" w:name="_Toc100905206"/>
      <w:r/>
      <w:bookmarkStart w:id="68" w:name="_Toc107246220"/>
      <w:r/>
      <w:bookmarkStart w:id="69" w:name="_Toc104560844"/>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100905207"/>
      <w:r/>
      <w:bookmarkStart w:id="71"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3848534"/>
      <w:r/>
      <w:bookmarkStart w:id="73" w:name="_Toc104560845"/>
      <w:r/>
      <w:bookmarkStart w:id="74"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0905208"/>
      <w:r/>
      <w:bookmarkStart w:id="76" w:name="_Toc104560846"/>
      <w:r/>
      <w:bookmarkStart w:id="77" w:name="_Toc103848535"/>
      <w:r/>
      <w:bookmarkStart w:id="78" w:name="_Toc96347868"/>
      <w:r/>
      <w:bookmarkStart w:id="79" w:name="_Toc107246222"/>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7246223"/>
      <w:r/>
      <w:bookmarkStart w:id="81"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3848536"/>
      <w:r/>
      <w:bookmarkStart w:id="83" w:name="_Toc100905210"/>
      <w:r/>
      <w:bookmarkStart w:id="84" w:name="_Toc107246224"/>
      <w:r/>
      <w:bookmarkStart w:id="85" w:name="_Toc104560847"/>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4560848"/>
      <w:r/>
      <w:bookmarkStart w:id="88" w:name="_Toc107246225"/>
      <w:r/>
      <w:bookmarkStart w:id="89" w:name="_Toc103848537"/>
      <w:r/>
      <w:bookmarkStart w:id="90" w:name="_Toc100905213"/>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4560850"/>
      <w:r/>
      <w:bookmarkStart w:id="95" w:name="_Toc107246227"/>
      <w:r/>
      <w:bookmarkStart w:id="96" w:name="_Toc103848538"/>
      <w:r/>
      <w:bookmarkStart w:id="97"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7246229"/>
      <w:r/>
      <w:bookmarkStart w:id="101"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1"/>
      <w:r/>
      <w:bookmarkStart w:id="104" w:name="_Toc100905217"/>
      <w:r/>
      <w:bookmarkStart w:id="105" w:name="_Toc103848540"/>
      <w:r/>
      <w:bookmarkStart w:id="106" w:name="_Toc96347871"/>
      <w:r/>
      <w:bookmarkStart w:id="107" w:name="_Toc104560854"/>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pStyle w:val="1093"/>
        <w:ind w:firstLine="42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7246232"/>
      <w:r/>
      <w:bookmarkStart w:id="110" w:name="_Toc100905218"/>
      <w:r/>
      <w:bookmarkStart w:id="111" w:name="_Toc104560855"/>
      <w:r/>
      <w:bookmarkStart w:id="112" w:name="_Toc96347873"/>
      <w:r/>
      <w:bookmarkStart w:id="113" w:name="_Toc103848541"/>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4560856"/>
      <w:r/>
      <w:bookmarkStart w:id="116" w:name="_Toc91836558"/>
      <w:r/>
      <w:bookmarkStart w:id="117" w:name="_Toc107246233"/>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7246235"/>
      <w:r/>
      <w:bookmarkStart w:id="125"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4560859"/>
      <w:r/>
      <w:bookmarkStart w:id="128" w:name="_Toc107246237"/>
      <w:r/>
      <w:bookmarkStart w:id="129" w:name="_Toc103848545"/>
      <w:r/>
      <w:bookmarkStart w:id="130" w:name="_Toc100905224"/>
      <w:r/>
      <w:bookmarkStart w:id="131" w:name="_Toc100905223"/>
      <w:r/>
      <w:bookmarkStart w:id="132" w:name="_Toc103848544"/>
      <w:r/>
      <w:bookmarkStart w:id="133" w:name="_Toc96347878"/>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4560860"/>
      <w:r/>
      <w:bookmarkStart w:id="135" w:name="_Toc107246238"/>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68159552"/>
      <w:r/>
      <w:bookmarkStart w:id="137" w:name="_Toc466452044"/>
      <w:r/>
      <w:bookmarkStart w:id="138" w:name="_Toc420657357"/>
      <w:r/>
      <w:bookmarkStart w:id="139" w:name="_Toc519241651"/>
      <w:r/>
      <w:bookmarkStart w:id="140" w:name="_Toc420487862"/>
      <w:r/>
      <w:bookmarkStart w:id="141" w:name="_Toc96347879"/>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100905225"/>
      <w:r/>
      <w:bookmarkStart w:id="144" w:name="_Toc104560861"/>
      <w:r/>
      <w:bookmarkStart w:id="145" w:name="_Toc96347880"/>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821"/>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7246241"/>
      <w:r/>
      <w:bookmarkStart w:id="149" w:name="_Toc103848548"/>
      <w:r/>
      <w:bookmarkStart w:id="150" w:name="_Toc100905226"/>
      <w:r/>
      <w:bookmarkStart w:id="151" w:name="_Toc104560863"/>
      <w:r/>
      <w:bookmarkStart w:id="152" w:name="_Toc96347881"/>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103848549"/>
      <w:r/>
      <w:bookmarkStart w:id="154" w:name="_Toc11464"/>
      <w:r/>
      <w:bookmarkStart w:id="155" w:name="_Toc89586904"/>
      <w:r/>
      <w:bookmarkStart w:id="156" w:name="_Toc46939510"/>
      <w:r/>
      <w:bookmarkStart w:id="157" w:name="_Toc50528805"/>
      <w:r/>
      <w:bookmarkStart w:id="158" w:name="_Toc97561941"/>
      <w:r/>
      <w:bookmarkStart w:id="159" w:name="_Toc5042"/>
      <w:r/>
      <w:bookmarkStart w:id="160" w:name="_Toc46219699"/>
      <w:r/>
      <w:bookmarkStart w:id="161" w:name="_Toc51928343"/>
      <w:r/>
      <w:bookmarkStart w:id="162" w:name="_Toc46960670"/>
      <w:r/>
      <w:bookmarkStart w:id="163" w:name="_Toc100905227"/>
      <w:r/>
      <w:bookmarkStart w:id="164" w:name="_Toc40202948"/>
      <w:r/>
      <w:bookmarkStart w:id="165" w:name="_Toc38931614"/>
      <w:r/>
      <w:bookmarkStart w:id="166" w:name="_Toc4536"/>
      <w:r/>
      <w:bookmarkStart w:id="167" w:name="_Toc96347882"/>
      <w:r/>
      <w:bookmarkStart w:id="168" w:name="_Toc91399404"/>
      <w:r/>
      <w:bookmarkStart w:id="169" w:name="_Toc48151397"/>
      <w:r/>
      <w:bookmarkStart w:id="170" w:name="_Toc38931800"/>
      <w:r/>
      <w:bookmarkStart w:id="171" w:name="_Toc11952"/>
      <w:r/>
      <w:bookmarkStart w:id="172" w:name="_Toc38933357"/>
      <w:r/>
      <w:bookmarkStart w:id="173" w:name="_Toc19963"/>
      <w:r/>
      <w:bookmarkStart w:id="174" w:name="_Toc469850063"/>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7246242"/>
      <w:r/>
      <w:bookmarkStart w:id="176" w:name="_Toc104560864"/>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7246243"/>
      <w:r/>
      <w:bookmarkStart w:id="179" w:name="_Toc100905228"/>
      <w:r/>
      <w:bookmarkStart w:id="180" w:name="_Toc104560865"/>
      <w:r/>
      <w:bookmarkStart w:id="181" w:name="_Toc103848550"/>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7246244"/>
      <w:r/>
      <w:bookmarkStart w:id="184" w:name="_Toc103848551"/>
      <w:r/>
      <w:bookmarkStart w:id="185" w:name="_Toc104560866"/>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7246246"/>
      <w:r/>
      <w:bookmarkStart w:id="189" w:name="_Toc100905230"/>
      <w:r/>
      <w:bookmarkStart w:id="190" w:name="_Toc104560868"/>
      <w:r/>
      <w:bookmarkStart w:id="191" w:name="_Toc103848553"/>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3848555"/>
      <w:r/>
      <w:bookmarkStart w:id="198" w:name="_Toc107246249"/>
      <w:r/>
      <w:bookmarkStart w:id="199" w:name="_Toc104560870"/>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3848556"/>
      <w:r/>
      <w:bookmarkStart w:id="201" w:name="_Toc104560871"/>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7246251"/>
      <w:r/>
      <w:bookmarkStart w:id="204" w:name="_Toc103848557"/>
      <w:r/>
      <w:bookmarkStart w:id="205" w:name="_Toc104560872"/>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3848558"/>
      <w:r/>
      <w:bookmarkStart w:id="208" w:name="_Toc107246253"/>
      <w:r/>
      <w:bookmarkStart w:id="209" w:name="_Toc104560873"/>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4560874"/>
      <w:r/>
      <w:bookmarkStart w:id="211" w:name="_Toc107246254"/>
      <w:r/>
      <w:bookmarkStart w:id="212"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21"/>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3848561"/>
      <w:r/>
      <w:bookmarkStart w:id="215" w:name="_Toc107246256"/>
      <w:r/>
      <w:bookmarkStart w:id="216"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4560879"/>
      <w:r/>
      <w:bookmarkStart w:id="222" w:name="_Toc107246259"/>
      <w:r/>
      <w:bookmarkStart w:id="223"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4560880"/>
      <w:r/>
      <w:bookmarkStart w:id="228" w:name="_Toc107246261"/>
      <w:r/>
      <w:bookmarkStart w:id="229" w:name="_Toc103848565"/>
      <w:r/>
      <w:bookmarkStart w:id="230" w:name="_Toc16938553"/>
      <w:r/>
      <w:bookmarkStart w:id="231" w:name="_Toc513029237"/>
      <w:r/>
      <w:bookmarkStart w:id="232" w:name="_Toc20823309"/>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4560881"/>
      <w:r/>
      <w:bookmarkStart w:id="234" w:name="_Toc107246262"/>
      <w:r/>
      <w:bookmarkStart w:id="235"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4560883"/>
      <w:r/>
      <w:bookmarkStart w:id="239" w:name="_Toc102117305"/>
      <w:r/>
      <w:bookmarkStart w:id="240"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4560884"/>
      <w:r/>
      <w:bookmarkStart w:id="243"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2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3848572"/>
      <w:r/>
      <w:bookmarkStart w:id="246" w:name="_Toc107246267"/>
      <w:r/>
      <w:bookmarkStart w:id="247"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3848573"/>
      <w:r/>
      <w:bookmarkStart w:id="249" w:name="_Toc107246268"/>
      <w:r/>
      <w:bookmarkStart w:id="250" w:name="_Toc104560887"/>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2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4560888"/>
      <w:r/>
      <w:bookmarkStart w:id="252" w:name="_Toc103848574"/>
      <w:r/>
      <w:bookmarkStart w:id="253" w:name="_Toc107246269"/>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63"/>
        <w:numPr>
          <w:ilvl w:val="0"/>
          <w:numId w:val="3"/>
        </w:numPr>
        <w:ind w:firstLine="567"/>
        <w:rPr>
          <w:color w:val="000000" w:themeColor="text1"/>
          <w:highlight w:val="none"/>
          <w14:textFill>
            <w14:solidFill>
              <w14:schemeClr w14:val="tx1"/>
            </w14:solidFill>
          </w14:textFill>
        </w:rPr>
      </w:pPr>
      <w:r/>
      <w:bookmarkStart w:id="254" w:name="_Toc91836563"/>
      <w:r>
        <w:rPr>
          <w:rFonts w:hint="eastAsia" w:ascii="宋体" w:hAnsi="宋体" w:cs="宋体"/>
          <w:color w:val="000000" w:themeColor="text1"/>
          <w:highlight w:val="none"/>
          <w14:textFill>
            <w14:solidFill>
              <w14:schemeClr w14:val="tx1"/>
            </w14:solidFill>
          </w14:textFill>
        </w:rPr>
        <w:br w:type="page" w:clear="all"/>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6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41"/>
      </w:tblGrid>
      <w:tr>
        <w:trPr/>
        <w:tc>
          <w:tcPr>
            <w:tcW w:w="8541" w:type="dxa"/>
            <w:textDirection w:val="lrTb"/>
            <w:noWrap w:val="false"/>
          </w:tcPr>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采购单位：</w:t>
            </w:r>
            <w:r>
              <w:rPr>
                <w:rFonts w:hint="eastAsia" w:hAnsi="宋体" w:eastAsia="Times New Roman" w:cs="宋体"/>
                <w:bCs/>
                <w:color w:val="000000" w:themeColor="text1"/>
                <w:szCs w:val="21"/>
                <w:highlight w:val="none"/>
                <w:u w:val="single"/>
                <w14:textFill>
                  <w14:solidFill>
                    <w14:schemeClr w14:val="tx1"/>
                  </w14:solidFill>
                </w14:textFill>
              </w:rPr>
              <w:t xml:space="preserve">南京鼓楼医院</w:t>
            </w:r>
            <w:r>
              <w:rPr>
                <w:rFonts w:hint="eastAsia" w:hAnsi="宋体" w:eastAsia="Times New Roman" w:cs="宋体"/>
                <w:bCs/>
                <w:color w:val="000000" w:themeColor="text1"/>
                <w:szCs w:val="21"/>
                <w:highlight w:val="none"/>
                <w14:textFill>
                  <w14:solidFill>
                    <w14:schemeClr w14:val="tx1"/>
                  </w14:solidFill>
                </w14:textFill>
              </w:rPr>
              <w:t xml:space="preserve">（以下简称甲方）</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供货单位：（以下简称乙方）</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南京鼓楼医院和（经鼓楼医院</w:t>
            </w:r>
            <w:r>
              <w:rPr>
                <w:rFonts w:hint="eastAsia" w:hAnsi="宋体" w:eastAsia="Times New Roman" w:cs="宋体"/>
                <w:bCs/>
                <w:color w:val="000000" w:themeColor="text1"/>
                <w:szCs w:val="21"/>
                <w:highlight w:val="none"/>
                <w:u w:val="single"/>
                <w14:textFill>
                  <w14:solidFill>
                    <w14:schemeClr w14:val="tx1"/>
                  </w14:solidFill>
                </w14:textFill>
              </w:rPr>
              <w:t xml:space="preserve">XX年XX月XX日招标</w:t>
            </w:r>
            <w:r>
              <w:rPr>
                <w:rFonts w:hint="eastAsia" w:hAnsi="宋体" w:eastAsia="Times New Roman" w:cs="宋体"/>
                <w:bCs/>
                <w:color w:val="000000" w:themeColor="text1"/>
                <w:szCs w:val="21"/>
                <w:highlight w:val="none"/>
                <w14:textFill>
                  <w14:solidFill>
                    <w14:schemeClr w14:val="tx1"/>
                  </w14:solidFill>
                </w14:textFill>
              </w:rPr>
              <w:t xml:space="preserve">），签订协议条款如下：</w:t>
            </w:r>
            <w:r/>
          </w:p>
          <w:p>
            <w:pPr>
              <w:numPr>
                <w:ilvl w:val="0"/>
                <w:numId w:val="4"/>
              </w:num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甲乙双方同意，甲方</w:t>
            </w:r>
            <w:r>
              <w:rPr>
                <w:rFonts w:hint="eastAsia" w:hAnsi="宋体" w:eastAsia="Times New Roman" w:cs="宋体"/>
                <w:bCs/>
                <w:color w:val="000000" w:themeColor="text1"/>
                <w:szCs w:val="21"/>
                <w:highlight w:val="none"/>
                <w:u w:val="single"/>
                <w14:textFill>
                  <w14:solidFill>
                    <w14:schemeClr w14:val="tx1"/>
                  </w14:solidFill>
                </w14:textFill>
              </w:rPr>
              <w:t xml:space="preserve">XXX</w:t>
            </w:r>
            <w:r>
              <w:rPr>
                <w:rFonts w:hint="eastAsia" w:hAnsi="宋体" w:eastAsia="Times New Roman" w:cs="宋体"/>
                <w:bCs/>
                <w:color w:val="000000" w:themeColor="text1"/>
                <w:szCs w:val="21"/>
                <w:highlight w:val="none"/>
                <w14:textFill>
                  <w14:solidFill>
                    <w14:schemeClr w14:val="tx1"/>
                  </w14:solidFill>
                </w14:textFill>
              </w:rPr>
              <w:t xml:space="preserve">按以下条款向乙方购置</w:t>
            </w:r>
            <w:r>
              <w:rPr>
                <w:rFonts w:hint="eastAsia" w:hAnsi="宋体" w:eastAsia="Times New Roman" w:cs="宋体"/>
                <w:bCs/>
                <w:color w:val="000000" w:themeColor="text1"/>
                <w:szCs w:val="21"/>
                <w:highlight w:val="none"/>
                <w:u w:val="single"/>
                <w14:textFill>
                  <w14:solidFill>
                    <w14:schemeClr w14:val="tx1"/>
                  </w14:solidFill>
                </w14:textFill>
              </w:rPr>
              <w:t xml:space="preserve">XXX,详见附件1《供货清单》</w:t>
            </w:r>
            <w:r>
              <w:rPr>
                <w:rFonts w:hint="eastAsia" w:hAnsi="宋体" w:eastAsia="Times New Roman" w:cs="宋体"/>
                <w:bCs/>
                <w:color w:val="000000" w:themeColor="text1"/>
                <w:szCs w:val="21"/>
                <w:highlight w:val="none"/>
                <w14:textFill>
                  <w14:solidFill>
                    <w14:schemeClr w14:val="tx1"/>
                  </w14:solidFill>
                </w14:textFill>
              </w:rPr>
              <w:t xml:space="preserve">：</w:t>
            </w:r>
            <w:r/>
          </w:p>
          <w:p>
            <w:pPr>
              <w:numPr>
                <w:ilvl w:val="0"/>
                <w:numId w:val="4"/>
              </w:num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乙方保证所供产品符合协议）要求，不得弄虚作假、不得提供假冒伪劣产品、不合格服务或任意提供协议外产品、服务。</w:t>
            </w:r>
            <w:r/>
          </w:p>
          <w:p>
            <w:pPr>
              <w:pStyle w:val="840"/>
              <w:numPr>
                <w:ilvl w:val="0"/>
                <w:numId w:val="4"/>
              </w:numPr>
              <w:ind w:firstLine="480"/>
              <w:spacing w:line="360" w:lineRule="auto"/>
              <w:rPr>
                <w:rFonts w:eastAsia="Times New Roman" w:cs="宋体"/>
                <w:bCs/>
                <w:color w:val="000000" w:themeColor="text1"/>
                <w:szCs w:val="21"/>
                <w:highlight w:val="none"/>
                <w14:textFill>
                  <w14:solidFill>
                    <w14:schemeClr w14:val="tx1"/>
                  </w14:solidFill>
                </w14:textFill>
              </w:rPr>
            </w:pPr>
            <w:r>
              <w:rPr>
                <w:rFonts w:hint="eastAsia" w:eastAsia="Times New Roman" w:cs="宋体"/>
                <w:bCs/>
                <w:color w:val="000000" w:themeColor="text1"/>
                <w:szCs w:val="21"/>
                <w:highlight w:val="none"/>
                <w14:textFill>
                  <w14:solidFill>
                    <w14:schemeClr w14:val="tx1"/>
                  </w14:solidFill>
                </w14:textFill>
              </w:rPr>
              <w:t xml:space="preserve">资质要求</w:t>
            </w:r>
            <w:r/>
          </w:p>
          <w:p>
            <w:pPr>
              <w:pStyle w:val="840"/>
              <w:ind w:firstLine="480"/>
              <w:spacing w:line="360" w:lineRule="auto"/>
              <w:rPr>
                <w:rFonts w:eastAsia="Times New Roman" w:cs="宋体"/>
                <w:bCs/>
                <w:color w:val="000000" w:themeColor="text1"/>
                <w:szCs w:val="21"/>
                <w:highlight w:val="none"/>
                <w14:textFill>
                  <w14:solidFill>
                    <w14:schemeClr w14:val="tx1"/>
                  </w14:solidFill>
                </w14:textFill>
              </w:rPr>
            </w:pPr>
            <w:r>
              <w:rPr>
                <w:rFonts w:hint="eastAsia" w:eastAsia="Times New Roman" w:cs="宋体"/>
                <w:bCs/>
                <w:color w:val="000000" w:themeColor="text1"/>
                <w:szCs w:val="21"/>
                <w:highlight w:val="none"/>
                <w14:textFill>
                  <w14:solidFill>
                    <w14:schemeClr w14:val="tx1"/>
                  </w14:solidFill>
                </w14:textFill>
              </w:rPr>
              <w:t xml:space="preserve">乙方向甲方提供营业执照复印件、行业许可证复印件、质量承诺书、信用报告、个人授权书等相关证件，并加盖公章。</w:t>
            </w:r>
            <w:r/>
          </w:p>
          <w:p>
            <w:pPr>
              <w:numPr>
                <w:ilvl w:val="0"/>
                <w:numId w:val="4"/>
              </w:num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合同有效期</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u w:val="single"/>
                <w14:textFill>
                  <w14:solidFill>
                    <w14:schemeClr w14:val="tx1"/>
                  </w14:solidFill>
                </w14:textFill>
              </w:rPr>
              <w:t xml:space="preserve">自XX年XX月XX日起至XX年XX月XX日止</w:t>
            </w:r>
            <w:r>
              <w:rPr>
                <w:rFonts w:hint="eastAsia" w:hAnsi="宋体" w:eastAsia="Times New Roman" w:cs="宋体"/>
                <w:bCs/>
                <w:color w:val="000000" w:themeColor="text1"/>
                <w:szCs w:val="21"/>
                <w:highlight w:val="none"/>
                <w14:textFill>
                  <w14:solidFill>
                    <w14:schemeClr w14:val="tx1"/>
                  </w14:solidFill>
                </w14:textFill>
              </w:rPr>
              <w:t xml:space="preserve">。安装调试完成经甲方验收合格，合同继续执行。协议期内不得涨价。</w:t>
            </w:r>
            <w:r/>
          </w:p>
          <w:p>
            <w:pPr>
              <w:numPr>
                <w:ilvl w:val="0"/>
                <w:numId w:val="4"/>
              </w:num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质保期限：</w:t>
            </w:r>
            <w:r/>
          </w:p>
          <w:p>
            <w:pPr>
              <w:pStyle w:val="840"/>
              <w:ind w:firstLine="480"/>
              <w:spacing w:line="360" w:lineRule="auto"/>
              <w:rPr>
                <w:rFonts w:eastAsia="Times New Roman" w:cs="宋体"/>
                <w:bCs/>
                <w:color w:val="000000" w:themeColor="text1"/>
                <w:szCs w:val="21"/>
                <w:highlight w:val="none"/>
                <w14:textFill>
                  <w14:solidFill>
                    <w14:schemeClr w14:val="tx1"/>
                  </w14:solidFill>
                </w14:textFill>
              </w:rPr>
            </w:pPr>
            <w:r>
              <w:rPr>
                <w:rFonts w:hint="eastAsia" w:eastAsia="Times New Roman" w:cs="宋体"/>
                <w:bCs/>
                <w:color w:val="000000" w:themeColor="text1"/>
                <w:szCs w:val="21"/>
                <w:highlight w:val="none"/>
                <w14:textFill>
                  <w14:solidFill>
                    <w14:schemeClr w14:val="tx1"/>
                  </w14:solidFill>
                </w14:textFill>
              </w:rPr>
              <w:t xml:space="preserve">质保年，质保期从验收合格之日起计算。质保期满后，只收材料费，免收人工费等。</w:t>
            </w:r>
            <w:r/>
          </w:p>
          <w:p>
            <w:pPr>
              <w:numPr>
                <w:ilvl w:val="0"/>
                <w:numId w:val="4"/>
              </w:numPr>
              <w:ind w:firstLine="422"/>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预计到货时间：</w:t>
            </w:r>
            <w:r/>
          </w:p>
          <w:p>
            <w:pPr>
              <w:ind w:firstLine="420"/>
              <w:spacing w:line="360" w:lineRule="auto"/>
              <w:rPr>
                <w:rFonts w:hint="eastAsia"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u w:val="single"/>
                <w14:textFill>
                  <w14:solidFill>
                    <w14:schemeClr w14:val="tx1"/>
                  </w14:solidFill>
                </w14:textFill>
              </w:rPr>
              <w:t xml:space="preserve">按甲方要求</w:t>
            </w:r>
            <w:r>
              <w:rPr>
                <w:rFonts w:hint="eastAsia" w:hAnsi="宋体" w:eastAsia="Times New Roman" w:cs="宋体"/>
                <w:bCs/>
                <w:color w:val="000000" w:themeColor="text1"/>
                <w:szCs w:val="21"/>
                <w:highlight w:val="none"/>
                <w14:textFill>
                  <w14:solidFill>
                    <w14:schemeClr w14:val="tx1"/>
                  </w14:solidFill>
                </w14:textFill>
              </w:rPr>
              <w:t xml:space="preserve">。交货地点：甲方指定地点。</w:t>
            </w:r>
            <w:r/>
          </w:p>
          <w:p>
            <w:pPr>
              <w:pStyle w:val="832"/>
              <w:numPr>
                <w:ilvl w:val="0"/>
                <w:numId w:val="4"/>
              </w:numPr>
              <w:ind w:left="0" w:firstLine="422"/>
              <w:rPr>
                <w:rFonts w:hint="eastAsia" w:hAnsi="宋体" w:eastAsia="宋体" w:cs="宋体"/>
                <w:bCs/>
                <w:color w:val="000000" w:themeColor="text1"/>
                <w:szCs w:val="21"/>
                <w:highlight w:val="none"/>
                <w:lang w:val="en-US" w:eastAsia="zh-CN"/>
                <w14:textFill>
                  <w14:solidFill>
                    <w14:schemeClr w14:val="tx1"/>
                  </w14:solidFill>
                </w14:textFill>
              </w:rPr>
            </w:pPr>
            <w:r>
              <w:rPr>
                <w:rFonts w:hint="eastAsia" w:hAnsi="宋体" w:eastAsia="宋体" w:cs="宋体"/>
                <w:bCs/>
                <w:color w:val="000000" w:themeColor="text1"/>
                <w:szCs w:val="21"/>
                <w:highlight w:val="none"/>
                <w:lang w:val="en-US" w:eastAsia="zh-CN"/>
                <w14:textFill>
                  <w14:solidFill>
                    <w14:schemeClr w14:val="tx1"/>
                  </w14:solidFill>
                </w14:textFill>
              </w:rPr>
              <w:t xml:space="preserve">付款方式</w:t>
            </w:r>
            <w:r/>
          </w:p>
          <w:p>
            <w:pPr>
              <w:pStyle w:val="832"/>
              <w:numPr>
                <w:ilvl w:val="0"/>
                <w:numId w:val="0"/>
              </w:numPr>
              <w:ind w:firstLine="420"/>
              <w:rPr>
                <w:rFonts w:hint="default" w:hAnsi="宋体" w:eastAsia="宋体" w:cs="宋体"/>
                <w:b w:val="0"/>
                <w:bCs/>
                <w:color w:val="000000" w:themeColor="text1"/>
                <w:szCs w:val="21"/>
                <w:highlight w:val="none"/>
                <w:lang w:val="en-US" w:eastAsia="zh-CN"/>
                <w14:textFill>
                  <w14:solidFill>
                    <w14:schemeClr w14:val="tx1"/>
                  </w14:solidFill>
                </w14:textFill>
              </w:rPr>
            </w:pPr>
            <w:r>
              <w:rPr>
                <w:rFonts w:hint="default" w:hAnsi="宋体" w:eastAsia="宋体" w:cs="宋体"/>
                <w:b w:val="0"/>
                <w:bCs/>
                <w:color w:val="000000" w:themeColor="text1"/>
                <w:szCs w:val="21"/>
                <w:highlight w:val="none"/>
                <w:lang w:val="en-US" w:eastAsia="zh-CN"/>
                <w14:textFill>
                  <w14:solidFill>
                    <w14:schemeClr w14:val="tx1"/>
                  </w14:solidFill>
                </w14:textFill>
              </w:rPr>
              <w:t xml:space="preserve">货到验收合格且设备正常运行之日起30日内，甲方收到乙方开具的合法有效发票后支付合同总额的30%；验收合格且设备正常运行之日起120日内，甲方支付合同总额的60%；验收合格且设备正常运行之日起一年，甲方无息付清余款。</w:t>
            </w:r>
            <w:r/>
          </w:p>
          <w:p>
            <w:pPr>
              <w:numPr>
                <w:ilvl w:val="0"/>
                <w:numId w:val="4"/>
              </w:numPr>
              <w:ind w:firstLine="422"/>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结算方式</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经甲方项目负责人确认品种、数量、单价等准确无误后，乙方开具正式发票，当面交或信函至甲方，发票不能由第三方代开。如乙方未开具正式发票，甲方有权拒付该部分费用，由此产生的损失，由乙方自行承担，与甲方无关。 </w:t>
            </w:r>
            <w:r/>
          </w:p>
          <w:p>
            <w:pPr>
              <w:numPr>
                <w:ilvl w:val="0"/>
                <w:numId w:val="4"/>
              </w:numPr>
              <w:ind w:firstLine="422"/>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保密条款</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1、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2、双方应确保已方人员遵守本条约定保密义务，否则由此产生的一切后果由违约方承担责任。</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3、本条约定在本协议解除、终止或被认为无效后仍然有效。</w:t>
            </w:r>
            <w:r/>
          </w:p>
          <w:p>
            <w:pPr>
              <w:numPr>
                <w:ilvl w:val="0"/>
                <w:numId w:val="4"/>
              </w:numPr>
              <w:ind w:firstLine="422"/>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违约责任</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1、自本协议生效之日起，各方应严格依约履行。若任何一方违反本协议规定的，应赔偿由此给其他方造成的损失。</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3、乙方不能按协议规定的时间提供合格货物、完成安装并验收合格或提供保修等服务时，每逾期一天，甲方有权要求乙方按照商品或服务总金额的1%承担违约责任；如果逾期超过10日的，甲方有权单方直接解除本协议。</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4、乙方提供假冒伪劣产品的，乙方按该批次所购商品或服务金额的10倍向甲方支付违约金。</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5、乙方发生下列违约行为，应按协议总额的30%计算向甲方支付违约金。</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（1）乙方未能对获得的甲方医疗信息和患者诊疗信息永久保密。</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（2）乙方未经甲方同意或未按甲方要求，擅自修改本协议涉及的信息系统的数据文件。</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（3）乙方违反《南京鼓楼医院物资购销廉洁条例》的规定。</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w:t>
            </w:r>
            <w:r>
              <w:rPr>
                <w:rFonts w:hAnsi="宋体" w:eastAsia="Times New Roman" w:cs="宋体"/>
                <w:bCs/>
                <w:color w:val="000000" w:themeColor="text1"/>
                <w:szCs w:val="21"/>
                <w:highlight w:val="none"/>
                <w14:textFill>
                  <w14:solidFill>
                    <w14:schemeClr w14:val="tx1"/>
                  </w14:solidFill>
                </w14:textFill>
              </w:rPr>
              <w:t xml:space="preserve">，</w:t>
            </w:r>
            <w:r>
              <w:rPr>
                <w:rFonts w:hint="eastAsia" w:hAnsi="宋体" w:eastAsia="Times New Roman" w:cs="宋体"/>
                <w:bCs/>
                <w:color w:val="000000" w:themeColor="text1"/>
                <w:szCs w:val="21"/>
                <w:highlight w:val="none"/>
                <w14:textFill>
                  <w14:solidFill>
                    <w14:schemeClr w14:val="tx1"/>
                  </w14:solidFill>
                </w14:textFill>
              </w:rPr>
              <w:t xml:space="preserve">或单方面无故终止协议的，经委托人催告后 7 日内，仍未整改的。</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9、以上各项交付的违约金并不影响乙方继续履行本协议的其他各项义务。</w:t>
            </w:r>
            <w:r/>
          </w:p>
          <w:p>
            <w:pPr>
              <w:ind w:firstLine="420"/>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10、乙方若违反本协议第二款和第九款均视为对本协议的重大违约，甲方有权随时书面通知乙方立即终止本协议。</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九、甲乙双方须遵守《南京鼓楼医院物资购销廉洁条例》，条例内容如下：</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1、协议双方按照《中华人民共和国民法典》及购销廉洁条例约定购销药品、医用设备、医用耗材及行政办公物资等。</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2、甲方应当严格执行产品（服务）购销协议验收、入库制度，对采购产品（服务）及发票进行查验，不得违反有关规定协议外采购、违价采购或从非规定渠道采购。</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9、本廉洁条例为甲方产品购销行为的廉洁准则，各方均需严格遵守。</w:t>
            </w:r>
            <w:r/>
          </w:p>
          <w:p>
            <w:pPr>
              <w:ind w:firstLine="420"/>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10、本条例由甲方负责解释。</w:t>
            </w:r>
            <w:r/>
          </w:p>
          <w:p>
            <w:pPr>
              <w:ind w:firstLine="420"/>
              <w:jc w:val="left"/>
              <w:spacing w:line="360" w:lineRule="auto"/>
              <w:rPr>
                <w:rFonts w:hAnsi="宋体" w:eastAsia="Times New Roman"/>
                <w:bCs/>
                <w:color w:val="000000" w:themeColor="text1"/>
                <w:szCs w:val="21"/>
                <w:highlight w:val="none"/>
                <w14:textFill>
                  <w14:solidFill>
                    <w14:schemeClr w14:val="tx1"/>
                  </w14:solidFill>
                </w14:textFill>
              </w:rPr>
            </w:pPr>
            <w:r>
              <w:rPr>
                <w:rFonts w:hint="eastAsia" w:hAnsi="宋体" w:eastAsia="Times New Roman"/>
                <w:bCs/>
                <w:color w:val="000000" w:themeColor="text1"/>
                <w:szCs w:val="21"/>
                <w:highlight w:val="none"/>
                <w14:textFill>
                  <w14:solidFill>
                    <w14:schemeClr w14:val="tx1"/>
                  </w14:solidFill>
                </w14:textFill>
              </w:rPr>
              <w:t xml:space="preserve">11、本条例自即日起执行。</w:t>
            </w:r>
            <w:r/>
          </w:p>
          <w:p>
            <w:p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十、安全责任条款</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十一、本项目遇技术问题由甲方总务处负责协调解决。</w:t>
            </w:r>
            <w:r/>
          </w:p>
          <w:p>
            <w:p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十二、争议的解决：双方对其它违约责任按《中华人民共和国民法典》的有关规定处理，解决与本协议有关的一切争议。如一方不愿意协商或协商30日后无法解决的，应提交甲方所在地人民法院。</w:t>
            </w:r>
            <w:r/>
          </w:p>
          <w:p>
            <w:p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十三、</w:t>
            </w:r>
            <w:r/>
          </w:p>
          <w:p>
            <w:pPr>
              <w:ind w:firstLine="420"/>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本项目招标文件、投标文件、协议及附件、乙方其他承诺，均为本项目不可分割的重要组成部分，具有同等法律效力。</w:t>
            </w:r>
            <w:r/>
          </w:p>
          <w:p>
            <w:pPr>
              <w:ind w:firstLine="422"/>
              <w:jc w:val="left"/>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十四、本协议壹式肆份，甲方执叁份，乙方执壹份，经双方签字盖章后即生效。未尽事宜，由双方友好协商解决。</w:t>
            </w:r>
            <w:r/>
          </w:p>
          <w:p>
            <w:pPr>
              <w:pStyle w:val="840"/>
              <w:ind w:firstLine="480"/>
              <w:rPr>
                <w:rFonts w:eastAsia="Times New Roman"/>
                <w:bCs/>
                <w:color w:val="000000" w:themeColor="text1"/>
                <w:szCs w:val="21"/>
                <w:highlight w:val="none"/>
                <w14:textFill>
                  <w14:solidFill>
                    <w14:schemeClr w14:val="tx1"/>
                  </w14:solidFill>
                </w14:textFill>
              </w:rPr>
            </w:pPr>
            <w:r>
              <w:rPr>
                <w:rFonts w:eastAsia="Times New Roman"/>
                <w:bCs/>
                <w:color w:val="000000" w:themeColor="text1"/>
                <w:szCs w:val="21"/>
                <w:highlight w:val="none"/>
                <w14:textFill>
                  <w14:solidFill>
                    <w14:schemeClr w14:val="tx1"/>
                  </w14:solidFill>
                </w14:textFill>
              </w:rPr>
            </w:r>
            <w:r/>
          </w:p>
          <w:p>
            <w:pPr>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甲方：（盖章）                                乙方：（盖章）</w:t>
            </w:r>
            <w:r/>
          </w:p>
          <w:p>
            <w:pPr>
              <w:spacing w:line="360" w:lineRule="auto"/>
              <w:rPr>
                <w:rFonts w:hAnsi="宋体" w:eastAsia="Times New Roman" w:cs="宋体"/>
                <w:bCs/>
                <w:color w:val="000000" w:themeColor="text1"/>
                <w:szCs w:val="2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地址：</w:t>
            </w:r>
            <w:r>
              <w:rPr>
                <w:rFonts w:hint="eastAsia" w:hAnsi="宋体" w:eastAsia="Times New Roman" w:cs="宋体"/>
                <w:bCs/>
                <w:color w:val="000000" w:themeColor="text1"/>
                <w:szCs w:val="21"/>
                <w:highlight w:val="none"/>
                <w:u w:val="single"/>
                <w14:textFill>
                  <w14:solidFill>
                    <w14:schemeClr w14:val="tx1"/>
                  </w14:solidFill>
                </w14:textFill>
              </w:rPr>
              <w:t xml:space="preserve">     南京中山路321号      </w:t>
            </w:r>
            <w:r>
              <w:rPr>
                <w:rFonts w:hint="eastAsia" w:hAnsi="宋体" w:eastAsia="Times New Roman" w:cs="宋体"/>
                <w:bCs/>
                <w:color w:val="000000" w:themeColor="text1"/>
                <w:szCs w:val="21"/>
                <w:highlight w:val="none"/>
                <w14:textFill>
                  <w14:solidFill>
                    <w14:schemeClr w14:val="tx1"/>
                  </w14:solidFill>
                </w14:textFill>
              </w:rPr>
              <w:t xml:space="preserve">             地址：</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邮编：</w:t>
            </w:r>
            <w:r>
              <w:rPr>
                <w:rFonts w:hint="eastAsia" w:hAnsi="宋体" w:eastAsia="Times New Roman" w:cs="宋体"/>
                <w:bCs/>
                <w:color w:val="000000" w:themeColor="text1"/>
                <w:szCs w:val="21"/>
                <w:highlight w:val="none"/>
                <w:u w:val="single"/>
                <w14:textFill>
                  <w14:solidFill>
                    <w14:schemeClr w14:val="tx1"/>
                  </w14:solidFill>
                </w14:textFill>
              </w:rPr>
              <w:t xml:space="preserve">  210008  </w:t>
            </w:r>
            <w:r>
              <w:rPr>
                <w:rFonts w:hint="eastAsia" w:hAnsi="宋体" w:eastAsia="Times New Roman" w:cs="宋体"/>
                <w:bCs/>
                <w:color w:val="000000" w:themeColor="text1"/>
                <w:szCs w:val="21"/>
                <w:highlight w:val="none"/>
                <w14:textFill>
                  <w14:solidFill>
                    <w14:schemeClr w14:val="tx1"/>
                  </w14:solidFill>
                </w14:textFill>
              </w:rPr>
              <w:t xml:space="preserve"> 传真：                       邮编：传真：</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电话：</w:t>
            </w:r>
            <w:r>
              <w:rPr>
                <w:rFonts w:hint="eastAsia" w:hAnsi="宋体" w:eastAsia="Times New Roman" w:cs="宋体"/>
                <w:bCs/>
                <w:color w:val="000000" w:themeColor="text1"/>
                <w:szCs w:val="21"/>
                <w:highlight w:val="none"/>
                <w:u w:val="single"/>
                <w14:textFill>
                  <w14:solidFill>
                    <w14:schemeClr w14:val="tx1"/>
                  </w14:solidFill>
                </w14:textFill>
              </w:rPr>
              <w:t xml:space="preserve">    025-83105798     </w:t>
            </w:r>
            <w:r>
              <w:rPr>
                <w:rFonts w:hint="eastAsia" w:hAnsi="宋体" w:eastAsia="Times New Roman" w:cs="宋体"/>
                <w:bCs/>
                <w:color w:val="000000" w:themeColor="text1"/>
                <w:szCs w:val="21"/>
                <w:highlight w:val="none"/>
                <w14:textFill>
                  <w14:solidFill>
                    <w14:schemeClr w14:val="tx1"/>
                  </w14:solidFill>
                </w14:textFill>
              </w:rPr>
              <w:t xml:space="preserve">                   电话：</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法定代表人/授权代表：                         法定代表人：</w:t>
            </w:r>
            <w:r/>
          </w:p>
          <w:p>
            <w:pPr>
              <w:spacing w:line="360" w:lineRule="auto"/>
              <w:rPr>
                <w:rFonts w:eastAsia="Times New Roman"/>
                <w:bCs/>
                <w:color w:val="000000" w:themeColor="text1"/>
                <w:szCs w:val="21"/>
                <w:highlight w:val="none"/>
                <w14:textFill>
                  <w14:solidFill>
                    <w14:schemeClr w14:val="tx1"/>
                  </w14:solidFill>
                </w14:textFill>
              </w:rPr>
            </w:pPr>
            <w:r>
              <w:rPr>
                <w:rFonts w:hint="eastAsia" w:eastAsia="Times New Roman"/>
                <w:bCs/>
                <w:color w:val="000000" w:themeColor="text1"/>
                <w:szCs w:val="21"/>
                <w:highlight w:val="none"/>
                <w14:textFill>
                  <w14:solidFill>
                    <w14:schemeClr w14:val="tx1"/>
                  </w14:solidFill>
                </w14:textFill>
              </w:rPr>
              <w:t xml:space="preserve">采购分管院领导：                              打定代表人（手机）：</w:t>
            </w:r>
            <w:r/>
          </w:p>
          <w:p>
            <w:pPr>
              <w:spacing w:line="360" w:lineRule="auto"/>
              <w:tabs>
                <w:tab w:val="left" w:pos="4882" w:leader="none"/>
              </w:tabs>
              <w:rPr>
                <w:rFonts w:eastAsia="Times New Roman"/>
                <w:bCs/>
                <w:color w:val="000000" w:themeColor="text1"/>
                <w:szCs w:val="21"/>
                <w:highlight w:val="none"/>
                <w14:textFill>
                  <w14:solidFill>
                    <w14:schemeClr w14:val="tx1"/>
                  </w14:solidFill>
                </w14:textFill>
              </w:rPr>
            </w:pPr>
            <w:r>
              <w:rPr>
                <w:rFonts w:hint="eastAsia" w:eastAsia="Times New Roman"/>
                <w:bCs/>
                <w:color w:val="000000" w:themeColor="text1"/>
                <w:szCs w:val="21"/>
                <w:highlight w:val="none"/>
                <w14:textFill>
                  <w14:solidFill>
                    <w14:schemeClr w14:val="tx1"/>
                  </w14:solidFill>
                </w14:textFill>
              </w:rPr>
              <w:t xml:space="preserve">项目主管部门分管院领导：                      授权</w:t>
            </w:r>
            <w:r>
              <w:rPr>
                <w:rFonts w:hint="eastAsia" w:hAnsi="宋体" w:eastAsia="Times New Roman" w:cs="宋体"/>
                <w:bCs/>
                <w:color w:val="000000" w:themeColor="text1"/>
                <w:szCs w:val="21"/>
                <w:highlight w:val="none"/>
                <w14:textFill>
                  <w14:solidFill>
                    <w14:schemeClr w14:val="tx1"/>
                  </w14:solidFill>
                </w14:textFill>
              </w:rPr>
              <w:t xml:space="preserve">代表：</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项目主管部门负责人：                          </w:t>
            </w:r>
            <w:r>
              <w:rPr>
                <w:rFonts w:hint="eastAsia" w:eastAsia="Times New Roman"/>
                <w:bCs/>
                <w:color w:val="000000" w:themeColor="text1"/>
                <w:szCs w:val="21"/>
                <w:highlight w:val="none"/>
                <w14:textFill>
                  <w14:solidFill>
                    <w14:schemeClr w14:val="tx1"/>
                  </w14:solidFill>
                </w14:textFill>
              </w:rPr>
              <w:t xml:space="preserve">授权</w:t>
            </w:r>
            <w:r>
              <w:rPr>
                <w:rFonts w:hint="eastAsia" w:hAnsi="宋体" w:eastAsia="Times New Roman" w:cs="宋体"/>
                <w:bCs/>
                <w:color w:val="000000" w:themeColor="text1"/>
                <w:szCs w:val="21"/>
                <w:highlight w:val="none"/>
                <w14:textFill>
                  <w14:solidFill>
                    <w14:schemeClr w14:val="tx1"/>
                  </w14:solidFill>
                </w14:textFill>
              </w:rPr>
              <w:t xml:space="preserve">代表（手机）：                      </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医用物资采购中心负责人：                      日期：</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日期：                                        </w:t>
            </w:r>
            <w:r/>
          </w:p>
          <w:p>
            <w:pPr>
              <w:spacing w:line="360" w:lineRule="auto"/>
              <w:rPr>
                <w:rFonts w:hAnsi="宋体" w:eastAsia="Times New Roman" w:cs="宋体"/>
                <w:bCs/>
                <w:color w:val="000000" w:themeColor="text1"/>
                <w:szCs w:val="21"/>
                <w:highlight w:val="none"/>
                <w:u w:val="singl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                                             </w:t>
            </w:r>
            <w:r/>
          </w:p>
          <w:p>
            <w:pPr>
              <w:spacing w:line="360" w:lineRule="auto"/>
              <w:rPr>
                <w:rFonts w:eastAsia="Times New Roman"/>
                <w:color w:val="000000" w:themeColor="text1"/>
                <w:highlight w:val="none"/>
                <w14:textFill>
                  <w14:solidFill>
                    <w14:schemeClr w14:val="tx1"/>
                  </w14:solidFill>
                </w14:textFill>
              </w:rPr>
            </w:pPr>
            <w:r>
              <w:rPr>
                <w:rFonts w:hint="eastAsia" w:hAnsi="宋体" w:eastAsia="Times New Roman" w:cs="宋体"/>
                <w:bCs/>
                <w:color w:val="000000" w:themeColor="text1"/>
                <w:szCs w:val="21"/>
                <w:highlight w:val="none"/>
                <w14:textFill>
                  <w14:solidFill>
                    <w14:schemeClr w14:val="tx1"/>
                  </w14:solidFill>
                </w14:textFill>
              </w:rPr>
              <w:t xml:space="preserve">                                              </w:t>
            </w:r>
            <w:r/>
          </w:p>
          <w:p>
            <w:pPr>
              <w:spacing w:line="380" w:lineRule="exact"/>
              <w:tabs>
                <w:tab w:val="left" w:pos="420" w:leader="none"/>
              </w:tabs>
              <w:rPr>
                <w:rFonts w:hAnsi="宋体" w:eastAsia="Times New Roman"/>
                <w:color w:val="000000" w:themeColor="text1"/>
                <w:szCs w:val="21"/>
                <w:highlight w:val="none"/>
                <w14:textFill>
                  <w14:solidFill>
                    <w14:schemeClr w14:val="tx1"/>
                  </w14:solidFill>
                </w14:textFill>
              </w:rPr>
            </w:pPr>
            <w:r>
              <w:rPr>
                <w:rFonts w:hAnsi="宋体" w:eastAsia="Times New Roman"/>
                <w:color w:val="000000" w:themeColor="text1"/>
                <w:szCs w:val="21"/>
                <w:highlight w:val="none"/>
                <w14:textFill>
                  <w14:solidFill>
                    <w14:schemeClr w14:val="tx1"/>
                  </w14:solidFill>
                </w14:textFill>
              </w:rPr>
            </w:r>
            <w:r/>
          </w:p>
        </w:tc>
      </w:tr>
      <w:tr>
        <w:trPr/>
        <w:tc>
          <w:tcPr>
            <w:tcW w:w="8541" w:type="dxa"/>
            <w:textDirection w:val="lrTb"/>
            <w:noWrap w:val="false"/>
          </w:tcPr>
          <w:p>
            <w:pPr>
              <w:spacing w:line="380" w:lineRule="exact"/>
              <w:tabs>
                <w:tab w:val="left" w:pos="420" w:leader="none"/>
              </w:tabs>
              <w:rPr>
                <w:rFonts w:hAnsi="宋体" w:eastAsia="Times New Roman"/>
                <w:color w:val="000000" w:themeColor="text1"/>
                <w:szCs w:val="21"/>
                <w:highlight w:val="none"/>
                <w14:textFill>
                  <w14:solidFill>
                    <w14:schemeClr w14:val="tx1"/>
                  </w14:solidFill>
                </w14:textFill>
              </w:rPr>
            </w:pPr>
            <w:r>
              <w:rPr>
                <w:rFonts w:hAnsi="宋体" w:eastAsia="Times New Roman"/>
                <w:color w:val="000000" w:themeColor="text1"/>
                <w:szCs w:val="21"/>
                <w:highlight w:val="none"/>
                <w14:textFill>
                  <w14:solidFill>
                    <w14:schemeClr w14:val="tx1"/>
                  </w14:solidFill>
                </w14:textFill>
              </w:rPr>
            </w:r>
            <w:r/>
          </w:p>
        </w:tc>
      </w:tr>
    </w:tbl>
    <w:p>
      <w:pPr>
        <w:ind w:firstLine="420"/>
        <w:jc w:val="left"/>
        <w:spacing w:line="360" w:lineRule="auto"/>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63"/>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 采购需求</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一、基本概况</w:t>
      </w:r>
      <w:r/>
    </w:p>
    <w:p>
      <w:pPr>
        <w:pStyle w:val="822"/>
        <w:numPr>
          <w:ilvl w:val="0"/>
          <w:numId w:val="0"/>
        </w:num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1"/>
          <w:szCs w:val="21"/>
          <w:highlight w:val="none"/>
          <w14:textFill>
            <w14:solidFill>
              <w14:schemeClr w14:val="tx1"/>
            </w14:solidFill>
          </w14:textFill>
        </w:rPr>
        <w:t xml:space="preserve">项目背景</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南京鼓楼医院新建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食堂项目</w:t>
      </w:r>
      <w:r>
        <w:rPr>
          <w:rFonts w:hint="eastAsia" w:ascii="宋体" w:hAnsi="宋体" w:eastAsia="宋体" w:cs="宋体"/>
          <w:color w:val="000000" w:themeColor="text1"/>
          <w:szCs w:val="21"/>
          <w:highlight w:val="none"/>
          <w14:textFill>
            <w14:solidFill>
              <w14:schemeClr w14:val="tx1"/>
            </w14:solidFill>
          </w14:textFill>
        </w:rPr>
        <w:t xml:space="preserve">采购1套洁净蒸汽系统（包含洁净蒸汽产汽量1200kg/h </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2barg的洁净蒸汽发生器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及附属设备）</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设备</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利用工业蒸汽产出洁净蒸汽，（非燃气式蒸汽发生器、非电蒸汽发生器、非锅炉）；采购</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1套蒸汽冷凝水回收系统；</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同时移装院内现有洁净蒸汽发生器系统1套至指定位置，</w:t>
      </w:r>
      <w:r>
        <w:rPr>
          <w:rFonts w:hint="eastAsia" w:ascii="宋体" w:hAnsi="宋体" w:eastAsia="宋体" w:cs="宋体"/>
          <w:b/>
          <w:bCs/>
          <w:color w:val="000000" w:themeColor="text1"/>
          <w:szCs w:val="21"/>
          <w:highlight w:val="none"/>
          <w14:textFill>
            <w14:solidFill>
              <w14:schemeClr w14:val="tx1"/>
            </w14:solidFill>
          </w14:textFill>
        </w:rPr>
        <w:t xml:space="preserve">为</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新建食堂设备</w:t>
      </w:r>
      <w:r>
        <w:rPr>
          <w:rFonts w:hint="eastAsia" w:ascii="宋体" w:hAnsi="宋体" w:eastAsia="宋体" w:cs="宋体"/>
          <w:b/>
          <w:bCs/>
          <w:color w:val="000000" w:themeColor="text1"/>
          <w:szCs w:val="21"/>
          <w:highlight w:val="none"/>
          <w14:textFill>
            <w14:solidFill>
              <w14:schemeClr w14:val="tx1"/>
            </w14:solidFill>
          </w14:textFill>
        </w:rPr>
        <w:t xml:space="preserve">提供洁净蒸汽</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次采购所须设备、材料等由中选单位运抵项目现场，负责安装、调试，直至双方共同验收合格，同时中选单位须做好压力管道试验、监检、取得压力管道、压力容器登记证书后交付买方使用。供应商所投主要设备（洁净蒸汽发生器）的制造商必须具有压力容器制造许可证。本项目质保期内须进行免费维保，所有维修、维保费用均由中选单位承担。</w:t>
      </w:r>
      <w:r/>
    </w:p>
    <w:p>
      <w:pPr>
        <w:pStyle w:val="822"/>
        <w:numPr>
          <w:ilvl w:val="1"/>
          <w:numId w:val="0"/>
        </w:num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1.2项目基本配置</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洁净蒸汽发生器2套，其中利旧1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Cs w:val="21"/>
          <w:highlight w:val="none"/>
          <w14:textFill>
            <w14:solidFill>
              <w14:schemeClr w14:val="tx1"/>
            </w14:solidFill>
          </w14:textFill>
        </w:rPr>
        <w:t xml:space="preserve">，利旧洁净蒸汽发生器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须</w:t>
      </w:r>
      <w:r>
        <w:rPr>
          <w:rFonts w:hint="eastAsia" w:ascii="宋体" w:hAnsi="宋体" w:eastAsia="宋体" w:cs="宋体"/>
          <w:color w:val="000000" w:themeColor="text1"/>
          <w:szCs w:val="21"/>
          <w:highlight w:val="none"/>
          <w14:textFill>
            <w14:solidFill>
              <w14:schemeClr w14:val="tx1"/>
            </w14:solidFill>
          </w14:textFill>
        </w:rPr>
        <w:t xml:space="preserve">包含移位、安装；</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系统配套阀门，包含分汽缸2套及配套阀门；蒸汽减压站系统2套；B3设备间疏水系统3套；冷凝水泵组及热回收系统1套</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设备、管路安装：包括工业蒸汽调压、输送及分配系统；洁净蒸汽产生、输送及分配系统；冷凝水输送系统；冷凝水热能回收系统；热水循环水系统；RO水给水系统管路连接、安全排空系统、排污系统、仪表空压系统、洁净蒸汽与工业蒸汽调压及联通系统</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配合过程监督检验、管道系统试验、压力管道对接焊缝RT5%探伤，办理使用登记证</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141"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5、提交</w:t>
      </w:r>
      <w:r>
        <w:rPr>
          <w:rFonts w:hint="eastAsia" w:ascii="宋体" w:hAnsi="宋体" w:eastAsia="宋体" w:cs="宋体"/>
          <w:color w:val="000000" w:themeColor="text1"/>
          <w:szCs w:val="21"/>
          <w:highlight w:val="none"/>
          <w14:textFill>
            <w14:solidFill>
              <w14:schemeClr w14:val="tx1"/>
            </w14:solidFill>
          </w14:textFill>
        </w:rPr>
        <w:t xml:space="preserve">压力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容器和</w:t>
      </w:r>
      <w:r>
        <w:rPr>
          <w:rFonts w:hint="eastAsia" w:ascii="宋体" w:hAnsi="宋体" w:eastAsia="宋体" w:cs="宋体"/>
          <w:color w:val="000000" w:themeColor="text1"/>
          <w:szCs w:val="21"/>
          <w:highlight w:val="none"/>
          <w14:textFill>
            <w14:solidFill>
              <w14:schemeClr w14:val="tx1"/>
            </w14:solidFill>
          </w14:textFill>
        </w:rPr>
        <w:t xml:space="preserve">管道施工图</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满足使用登记证办理标准。</w:t>
      </w:r>
      <w:r/>
    </w:p>
    <w:p>
      <w:pPr>
        <w:pStyle w:val="822"/>
        <w:numPr>
          <w:ilvl w:val="1"/>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1.3洁净蒸汽要求</w:t>
      </w:r>
      <w:r/>
    </w:p>
    <w:p>
      <w:pPr>
        <w:numPr>
          <w:ilvl w:val="0"/>
          <w:numId w:val="0"/>
        </w:numPr>
        <w:ind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在给水水质满足WS310.1供给水指标要求情况下，洁净蒸汽发生器出口蒸汽冷凝水满WS310.1冷凝物质量指标要求。</w:t>
      </w:r>
      <w:r/>
    </w:p>
    <w:p>
      <w:pPr>
        <w:numPr>
          <w:ilvl w:val="0"/>
          <w:numId w:val="0"/>
        </w:numPr>
        <w:ind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洁净蒸汽的蒸汽品质符合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行业标准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压力波动小于±10%</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干度≥95%（质量比）</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不凝性气体含量低于3.5%（体积比）</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过热度不超过25℃；</w:t>
      </w:r>
      <w:r/>
    </w:p>
    <w:p>
      <w:pPr>
        <w:numPr>
          <w:ilvl w:val="0"/>
          <w:numId w:val="0"/>
        </w:numPr>
        <w:ind w:right="378"/>
        <w:jc w:val="left"/>
        <w:keepLines w:val="0"/>
        <w:keepNext w:val="0"/>
        <w:pageBreakBefore w:val="0"/>
        <w:spacing w:line="48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 技术规范要求</w:t>
      </w:r>
      <w:r/>
    </w:p>
    <w:p>
      <w:pPr>
        <w:ind w:right="378"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所涉及到的设计、加工制造、材料、探伤、电气装置、检验、试验及施工安装等均应参照适合于该项目的相关标准、试验规范，以及技术规格书规定的有关要求。所有计量仪器必须符合国家标准。（应包括但不仅限于以下</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若有更新以最新版本为准</w:t>
      </w:r>
      <w:r>
        <w:rPr>
          <w:rFonts w:hint="eastAsia" w:ascii="宋体" w:hAnsi="宋体" w:eastAsia="宋体" w:cs="宋体"/>
          <w:color w:val="000000" w:themeColor="text1"/>
          <w:szCs w:val="21"/>
          <w:highlight w:val="none"/>
          <w14:textFill>
            <w14:solidFill>
              <w14:schemeClr w14:val="tx1"/>
            </w14:solidFill>
          </w14:textFill>
        </w:rPr>
        <w:t xml:space="preserve">）：</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bookmarkStart w:id="256" w:name="_Toc438459866"/>
      <w:r>
        <w:rPr>
          <w:rFonts w:hint="eastAsia" w:ascii="宋体" w:hAnsi="宋体" w:eastAsia="宋体" w:cs="宋体"/>
          <w:color w:val="000000" w:themeColor="text1"/>
          <w:highlight w:val="none"/>
          <w14:textFill>
            <w14:solidFill>
              <w14:schemeClr w14:val="tx1"/>
            </w14:solidFill>
          </w14:textFill>
        </w:rPr>
        <w:t xml:space="preserve">EN285-2015     《大型灭菌器》</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GB4806-2023    《食品接触材料》</w:t>
      </w:r>
      <w:bookmarkEnd w:id="256"/>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CSUSGBC 2-2011 《绿色医院评价标准》 </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GB/T20801-2020  《压力管道规范——工业管道》</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NB/T47015-2011  《压力容器焊接规程》</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NB/T47013-2015  《承压设备无损检测》</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TSG D0001-2009  《压力管道安全技术检查规程-工业管道》</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GB/T 151-2014   《热交换器》</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GB/T 150-2011   《压力容器》</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 8599-2008    《大型蒸汽灭菌器技术要求 自动控制型》</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GB50231-2009    《机械设备安装工程施工及验收通用规范》</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GB50235-2010    《工业金属管道工程施工及验收规范》</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GB50236-2011    《现场设备、工业管道焊接工程施工及验收规范》</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GB50273-1998   《工业锅炉安装工程施工及验收规范》</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GB50184-2011   《工业金属管道工程质量检验评定标准》</w:t>
      </w:r>
      <w:r/>
    </w:p>
    <w:p>
      <w:pPr>
        <w:pStyle w:val="1135"/>
        <w:ind w:right="378" w:firstLine="140"/>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GB50185-2010   《工业设备及管道绝热工程施工质量验收规范》</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GB50055   《通用用电设备配电设计规范》</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GB50052   《供配电系统设计规范》</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GB50054   《低压配电设计规范》 </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GB50217   《电力工程电缆设计规范》</w:t>
      </w:r>
      <w:r/>
    </w:p>
    <w:p>
      <w:pPr>
        <w:ind w:right="378" w:firstLine="14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GB50057-84（2000版）   《建筑物防雷设计规范》</w:t>
      </w:r>
      <w:r/>
    </w:p>
    <w:p>
      <w:pPr>
        <w:pStyle w:val="824"/>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bCs/>
          <w:color w:val="000000" w:themeColor="text1"/>
          <w:sz w:val="21"/>
          <w:szCs w:val="21"/>
          <w:highlight w:val="none"/>
          <w14:textFill>
            <w14:solidFill>
              <w14:schemeClr w14:val="tx1"/>
            </w14:solidFill>
          </w14:textFill>
        </w:rPr>
        <w:t xml:space="preserve">技术</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参数</w:t>
      </w:r>
      <w:r/>
    </w:p>
    <w:p>
      <w:pPr>
        <w:pStyle w:val="822"/>
        <w:numPr>
          <w:ilvl w:val="1"/>
          <w:numId w:val="0"/>
        </w:num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3.1单套洁净蒸汽发生器技术要求</w:t>
      </w:r>
      <w:r/>
    </w:p>
    <w:p>
      <w:pPr>
        <w:ind w:right="378" w:firstLine="350"/>
        <w:jc w:val="left"/>
        <w:spacing w:line="30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与洁净侧接触的管道零部件满足食品安全要求，提供GB4806-2023食品接触材料符合性检测报告。为提高洁净蒸汽发生器效率，发生器配置热回收系统，回收利用冷凝水热量，预热给水，降低蒸汽消耗量，配置TDS自动排污系统，降低排污率，降低设备水耗和能耗。</w:t>
      </w:r>
      <w:r/>
    </w:p>
    <w:p>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以下配置及要求为满足使用的基本需求，各投标单位可增加但不可减少。</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934"/>
        <w:gridCol w:w="6741"/>
      </w:tblGrid>
      <w:tr>
        <w:trPr>
          <w:trHeight w:val="501"/>
        </w:trPr>
        <w:tc>
          <w:tcPr>
            <w:tcW w:w="549" w:type="pct"/>
            <w:vAlign w:val="center"/>
            <w:textDirection w:val="lrTb"/>
            <w:noWrap w:val="false"/>
          </w:tcPr>
          <w:p>
            <w:pPr>
              <w:jc w:val="center"/>
              <w:spacing w:line="30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序号</w:t>
            </w:r>
            <w:r/>
          </w:p>
        </w:tc>
        <w:tc>
          <w:tcPr>
            <w:tcW w:w="583" w:type="pct"/>
            <w:vAlign w:val="center"/>
            <w:textDirection w:val="lrTb"/>
            <w:noWrap w:val="false"/>
          </w:tcPr>
          <w:p>
            <w:pPr>
              <w:jc w:val="center"/>
              <w:spacing w:line="300" w:lineRule="auto"/>
              <w:widowControl/>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名称</w:t>
            </w:r>
            <w:r/>
          </w:p>
        </w:tc>
        <w:tc>
          <w:tcPr>
            <w:tcW w:w="3868" w:type="pct"/>
            <w:vAlign w:val="center"/>
            <w:textDirection w:val="lrTb"/>
            <w:noWrap w:val="false"/>
          </w:tcPr>
          <w:p>
            <w:pPr>
              <w:jc w:val="center"/>
              <w:spacing w:line="30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特征描述</w:t>
            </w:r>
            <w:r/>
          </w:p>
        </w:tc>
      </w:tr>
      <w:tr>
        <w:trPr>
          <w:trHeight w:val="400"/>
        </w:trPr>
        <w:tc>
          <w:tcPr>
            <w:gridSpan w:val="3"/>
            <w:tcW w:w="5000" w:type="pct"/>
            <w:vAlign w:val="center"/>
            <w:textDirection w:val="lrTb"/>
            <w:noWrap w:val="false"/>
          </w:tcPr>
          <w:p>
            <w:pPr>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3.1.1.</w:t>
            </w:r>
            <w:r>
              <w:rPr>
                <w:rFonts w:hint="eastAsia" w:ascii="宋体" w:hAnsi="宋体" w:eastAsia="宋体" w:cs="宋体"/>
                <w:bCs/>
                <w:color w:val="000000" w:themeColor="text1"/>
                <w:sz w:val="21"/>
                <w:szCs w:val="21"/>
                <w:highlight w:val="none"/>
                <w14:textFill>
                  <w14:solidFill>
                    <w14:schemeClr w14:val="tx1"/>
                  </w14:solidFill>
                </w14:textFill>
              </w:rPr>
              <w:t xml:space="preserve"> 发生器本体：按照压力容器设计和制造，内置高效的列管式换热器.通过工业蒸汽加热给水，即可实现加热、产汽和汽水分离功能。发生器本体需要配置相应的安全措施，比如安全阀防止设备超压，自动破真空设备防止设备在负压下运行。</w:t>
            </w:r>
            <w:r/>
          </w:p>
        </w:tc>
      </w:tr>
      <w:tr>
        <w:trPr>
          <w:trHeight w:val="9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发生器本体</w:t>
            </w:r>
            <w:r/>
          </w:p>
        </w:tc>
        <w:tc>
          <w:tcPr>
            <w:tcW w:w="3868" w:type="pct"/>
            <w:vAlign w:val="center"/>
            <w:textDirection w:val="lrTb"/>
            <w:noWrap w:val="false"/>
          </w:tcPr>
          <w:p>
            <w:pPr>
              <w:numPr>
                <w:ilvl w:val="0"/>
                <w:numId w:val="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列管式换热器，材质316L,抛光≤0.8μm</w:t>
            </w:r>
            <w:r/>
          </w:p>
          <w:p>
            <w:pPr>
              <w:numPr>
                <w:ilvl w:val="0"/>
                <w:numId w:val="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容积不小于530L</w:t>
            </w:r>
            <w:r/>
          </w:p>
          <w:p>
            <w:pPr>
              <w:numPr>
                <w:ilvl w:val="0"/>
                <w:numId w:val="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采用一体式发生器，在发生器本体内即可实现加热、产汽，汽水分离功能，有足够的容量，禁止使用无缓冲容积的快热式换热器。</w:t>
            </w:r>
            <w:r/>
          </w:p>
          <w:p>
            <w:pPr>
              <w:numPr>
                <w:ilvl w:val="0"/>
                <w:numId w:val="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发生器密封结构采用橡胶材质，耐温达到250℃及以上，同时需满足国家食品、药监相关标准</w:t>
            </w:r>
            <w:r/>
          </w:p>
        </w:tc>
      </w:tr>
      <w:tr>
        <w:trPr>
          <w:trHeight w:val="1321"/>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安全阀</w:t>
            </w:r>
            <w:r/>
          </w:p>
        </w:tc>
        <w:tc>
          <w:tcPr>
            <w:tcW w:w="3868" w:type="pct"/>
            <w:vAlign w:val="center"/>
            <w:textDirection w:val="lrTb"/>
            <w:noWrap w:val="false"/>
          </w:tcPr>
          <w:p>
            <w:pPr>
              <w:numPr>
                <w:ilvl w:val="0"/>
                <w:numId w:val="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接触材质不锈钢</w:t>
            </w:r>
            <w:r/>
          </w:p>
          <w:p>
            <w:pPr>
              <w:numPr>
                <w:ilvl w:val="0"/>
                <w:numId w:val="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设定压力7barg，排量不低于1450kg/h</w:t>
            </w:r>
            <w:r/>
          </w:p>
          <w:p>
            <w:pPr>
              <w:numPr>
                <w:ilvl w:val="0"/>
                <w:numId w:val="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超过压差不高于5%，启闭压差不高于10%</w:t>
            </w:r>
            <w:r/>
          </w:p>
          <w:p>
            <w:pPr>
              <w:numPr>
                <w:ilvl w:val="0"/>
                <w:numId w:val="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流通面积不小于314mm2</w:t>
            </w:r>
            <w:r/>
          </w:p>
          <w:p>
            <w:pPr>
              <w:numPr>
                <w:ilvl w:val="0"/>
                <w:numId w:val="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卡箍连接方式</w:t>
            </w:r>
            <w:r/>
          </w:p>
        </w:tc>
      </w:tr>
      <w:tr>
        <w:trPr>
          <w:trHeight w:val="1036"/>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3.1.1.3</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压力表</w:t>
            </w:r>
            <w:r/>
          </w:p>
        </w:tc>
        <w:tc>
          <w:tcPr>
            <w:tcW w:w="3868" w:type="pct"/>
            <w:vAlign w:val="center"/>
            <w:textDirection w:val="lrTb"/>
            <w:noWrap w:val="false"/>
          </w:tcPr>
          <w:p>
            <w:pPr>
              <w:numPr>
                <w:ilvl w:val="0"/>
                <w:numId w:val="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量程0~1.0MPa，</w:t>
            </w:r>
            <w:r/>
          </w:p>
          <w:p>
            <w:pPr>
              <w:numPr>
                <w:ilvl w:val="0"/>
                <w:numId w:val="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表盘直径不小于100mm</w:t>
            </w:r>
            <w:r/>
          </w:p>
          <w:p>
            <w:pPr>
              <w:numPr>
                <w:ilvl w:val="0"/>
                <w:numId w:val="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不锈钢材质</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3.1.1.4</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自动破真空设备</w:t>
            </w:r>
            <w:r/>
          </w:p>
        </w:tc>
        <w:tc>
          <w:tcPr>
            <w:tcW w:w="3868" w:type="pct"/>
            <w:vAlign w:val="center"/>
            <w:textDirection w:val="lrTb"/>
            <w:noWrap w:val="false"/>
          </w:tcPr>
          <w:p>
            <w:pPr>
              <w:numPr>
                <w:ilvl w:val="0"/>
                <w:numId w:val="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材质不锈钢</w:t>
            </w:r>
            <w:r/>
          </w:p>
          <w:p>
            <w:pPr>
              <w:numPr>
                <w:ilvl w:val="0"/>
                <w:numId w:val="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开启压差4.6mmHg</w:t>
            </w:r>
            <w:r/>
          </w:p>
          <w:p>
            <w:pPr>
              <w:numPr>
                <w:ilvl w:val="0"/>
                <w:numId w:val="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最高工作温度400℃</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3.1.1.5</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排空气阀</w:t>
            </w:r>
            <w:r/>
          </w:p>
        </w:tc>
        <w:tc>
          <w:tcPr>
            <w:tcW w:w="3868" w:type="pct"/>
            <w:vAlign w:val="center"/>
            <w:textDirection w:val="lrTb"/>
            <w:noWrap w:val="false"/>
          </w:tcPr>
          <w:p>
            <w:pPr>
              <w:numPr>
                <w:ilvl w:val="0"/>
                <w:numId w:val="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材质不锈钢</w:t>
            </w:r>
            <w:r/>
          </w:p>
          <w:p>
            <w:pPr>
              <w:numPr>
                <w:ilvl w:val="0"/>
                <w:numId w:val="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KV值0.8</w:t>
            </w:r>
            <w:r/>
          </w:p>
          <w:p>
            <w:pPr>
              <w:numPr>
                <w:ilvl w:val="0"/>
                <w:numId w:val="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最高工作温度400℃</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3.1.1.6</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截止阀</w:t>
            </w:r>
            <w:r/>
          </w:p>
        </w:tc>
        <w:tc>
          <w:tcPr>
            <w:tcW w:w="3868" w:type="pct"/>
            <w:vAlign w:val="center"/>
            <w:textDirection w:val="lrTb"/>
            <w:noWrap w:val="false"/>
          </w:tcPr>
          <w:p>
            <w:pPr>
              <w:numPr>
                <w:ilvl w:val="0"/>
                <w:numId w:val="10"/>
              </w:num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波纹管密封截止阀</w:t>
            </w:r>
            <w:r/>
          </w:p>
          <w:p>
            <w:pPr>
              <w:numPr>
                <w:ilvl w:val="0"/>
                <w:numId w:val="10"/>
              </w:num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不锈钢316材质3</w:t>
            </w:r>
            <w:r/>
          </w:p>
          <w:p>
            <w:pPr>
              <w:pStyle w:val="84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符合GB4806-2023食品接触材料要求</w:t>
            </w:r>
            <w:r/>
          </w:p>
        </w:tc>
      </w:tr>
      <w:tr>
        <w:trPr>
          <w:trHeight w:val="660"/>
        </w:trPr>
        <w:tc>
          <w:tcPr>
            <w:gridSpan w:val="3"/>
            <w:tcW w:w="5000"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3.1.2 </w:t>
            </w:r>
            <w:r>
              <w:rPr>
                <w:rFonts w:hint="eastAsia" w:ascii="宋体" w:hAnsi="宋体" w:eastAsia="宋体" w:cs="宋体"/>
                <w:bCs/>
                <w:color w:val="000000" w:themeColor="text1"/>
                <w:sz w:val="21"/>
                <w:szCs w:val="21"/>
                <w:highlight w:val="none"/>
                <w14:textFill>
                  <w14:solidFill>
                    <w14:schemeClr w14:val="tx1"/>
                  </w14:solidFill>
                </w14:textFill>
              </w:rPr>
              <w:t xml:space="preserve">液位控制系统：由RO水供应部分增压，给洁净蒸汽发生器供水，保证到发生器入口压力不低于2.5barg，流量不少于1650kg/h，液位系统由补水调节阀、液位传感器等设备组成液位控制系统，通过液位控制阀和液位传感器控制，保证液位稳定，保证蒸汽品质。同时系统设有低液位报警和高液位报警等连锁控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3.1.2.1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液位控制阀</w:t>
            </w:r>
            <w:r/>
          </w:p>
        </w:tc>
        <w:tc>
          <w:tcPr>
            <w:tcW w:w="3868" w:type="pct"/>
            <w:vAlign w:val="center"/>
            <w:textDirection w:val="lrTb"/>
            <w:noWrap w:val="false"/>
          </w:tcPr>
          <w:p>
            <w:pPr>
              <w:numPr>
                <w:ilvl w:val="0"/>
                <w:numId w:val="1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过流部件材质316不锈钢</w:t>
            </w:r>
            <w:r/>
          </w:p>
          <w:p>
            <w:pPr>
              <w:numPr>
                <w:ilvl w:val="0"/>
                <w:numId w:val="1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阀座耐温250℃，等百分比阀芯，达到Class Ⅵ级密封。</w:t>
            </w:r>
            <w:r/>
          </w:p>
          <w:p>
            <w:pPr>
              <w:numPr>
                <w:ilvl w:val="0"/>
                <w:numId w:val="1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4~20mA连续控制，定位器具有一键调试功能并带阀位显示反馈，工作温度-10—+80℃，封装等级IP65；</w:t>
            </w:r>
            <w:r/>
          </w:p>
          <w:p>
            <w:pPr>
              <w:numPr>
                <w:ilvl w:val="0"/>
                <w:numId w:val="1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气动执行器,反应迅速</w:t>
            </w:r>
            <w:r/>
          </w:p>
        </w:tc>
      </w:tr>
      <w:tr>
        <w:trPr>
          <w:trHeight w:val="362"/>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切断阀</w:t>
            </w:r>
            <w:r/>
          </w:p>
        </w:tc>
        <w:tc>
          <w:tcPr>
            <w:tcW w:w="3868" w:type="pct"/>
            <w:vAlign w:val="center"/>
            <w:textDirection w:val="lrTb"/>
            <w:noWrap w:val="false"/>
          </w:tcPr>
          <w:p>
            <w:pPr>
              <w:numPr>
                <w:ilvl w:val="0"/>
                <w:numId w:val="1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w:t>
            </w:r>
            <w:r/>
          </w:p>
          <w:p>
            <w:pPr>
              <w:numPr>
                <w:ilvl w:val="0"/>
                <w:numId w:val="1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三段式球阀</w:t>
            </w:r>
            <w:r/>
          </w:p>
          <w:p>
            <w:pPr>
              <w:numPr>
                <w:ilvl w:val="0"/>
                <w:numId w:val="1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耐温260℃</w:t>
            </w:r>
            <w:r/>
          </w:p>
          <w:p>
            <w:pPr>
              <w:numPr>
                <w:ilvl w:val="0"/>
                <w:numId w:val="1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泄露率需达到ISO5208的A级，</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3.1.2.3</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止回阀</w:t>
            </w:r>
            <w:r/>
          </w:p>
        </w:tc>
        <w:tc>
          <w:tcPr>
            <w:tcW w:w="3868" w:type="pct"/>
            <w:vAlign w:val="center"/>
            <w:textDirection w:val="lrTb"/>
            <w:noWrap w:val="false"/>
          </w:tcPr>
          <w:p>
            <w:pPr>
              <w:numPr>
                <w:ilvl w:val="0"/>
                <w:numId w:val="1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w:t>
            </w:r>
            <w:r/>
          </w:p>
          <w:p>
            <w:pPr>
              <w:numPr>
                <w:ilvl w:val="0"/>
                <w:numId w:val="1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开启压差：22.5mbar</w:t>
            </w:r>
            <w:r/>
          </w:p>
          <w:p>
            <w:pPr>
              <w:numPr>
                <w:ilvl w:val="0"/>
                <w:numId w:val="1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耐温300℃</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3.1.2.4</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液位传感器</w:t>
            </w:r>
            <w:r/>
          </w:p>
        </w:tc>
        <w:tc>
          <w:tcPr>
            <w:tcW w:w="3868" w:type="pct"/>
            <w:vAlign w:val="center"/>
            <w:textDirection w:val="lrTb"/>
            <w:noWrap w:val="false"/>
          </w:tcPr>
          <w:p>
            <w:pPr>
              <w:numPr>
                <w:ilvl w:val="0"/>
                <w:numId w:val="1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磁翻板形式，带传感器，输出信号4~20mA</w:t>
            </w:r>
            <w:r/>
          </w:p>
          <w:p>
            <w:pPr>
              <w:numPr>
                <w:ilvl w:val="0"/>
                <w:numId w:val="1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接触材质316L,抛光≤0.8μm</w:t>
            </w:r>
            <w:r/>
          </w:p>
          <w:p>
            <w:pPr>
              <w:numPr>
                <w:ilvl w:val="0"/>
                <w:numId w:val="1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量程：0~30cm</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3.1.2.5</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压力表</w:t>
            </w:r>
            <w:r/>
          </w:p>
        </w:tc>
        <w:tc>
          <w:tcPr>
            <w:tcW w:w="3868" w:type="pct"/>
            <w:vAlign w:val="center"/>
            <w:textDirection w:val="lrTb"/>
            <w:noWrap w:val="false"/>
          </w:tcPr>
          <w:p>
            <w:pPr>
              <w:numPr>
                <w:ilvl w:val="1"/>
                <w:numId w:val="1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量程0~1.0MPa，</w:t>
            </w:r>
            <w:r/>
          </w:p>
          <w:p>
            <w:pPr>
              <w:numPr>
                <w:ilvl w:val="0"/>
                <w:numId w:val="1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表盘直径不小于100mm</w:t>
            </w:r>
            <w:r/>
          </w:p>
          <w:p>
            <w:pPr>
              <w:numPr>
                <w:ilvl w:val="0"/>
                <w:numId w:val="1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接触部件材质316L</w:t>
            </w:r>
            <w:r/>
          </w:p>
          <w:p>
            <w:pPr>
              <w:numPr>
                <w:ilvl w:val="0"/>
                <w:numId w:val="1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精度1.0级，充油抗震</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3.1.2.6</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排净阀</w:t>
            </w:r>
            <w:r/>
          </w:p>
        </w:tc>
        <w:tc>
          <w:tcPr>
            <w:tcW w:w="3868" w:type="pct"/>
            <w:vAlign w:val="center"/>
            <w:textDirection w:val="lrTb"/>
            <w:noWrap w:val="false"/>
          </w:tcPr>
          <w:p>
            <w:pPr>
              <w:numPr>
                <w:ilvl w:val="0"/>
                <w:numId w:val="1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w:t>
            </w:r>
            <w:r/>
          </w:p>
          <w:p>
            <w:pPr>
              <w:numPr>
                <w:ilvl w:val="0"/>
                <w:numId w:val="1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三段式球阀</w:t>
            </w:r>
            <w:r/>
          </w:p>
          <w:p>
            <w:pPr>
              <w:numPr>
                <w:ilvl w:val="0"/>
                <w:numId w:val="1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耐温260℃</w:t>
            </w:r>
            <w:r/>
          </w:p>
          <w:p>
            <w:pPr>
              <w:numPr>
                <w:ilvl w:val="0"/>
                <w:numId w:val="1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泄露率需达到ISO5208的A级</w:t>
            </w:r>
            <w:r/>
          </w:p>
        </w:tc>
      </w:tr>
      <w:tr>
        <w:trPr>
          <w:trHeight w:val="660"/>
        </w:trPr>
        <w:tc>
          <w:tcPr>
            <w:gridSpan w:val="3"/>
            <w:tcW w:w="5000"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3.1.3.</w:t>
            </w:r>
            <w:r>
              <w:rPr>
                <w:rFonts w:hint="eastAsia" w:ascii="宋体" w:hAnsi="宋体" w:eastAsia="宋体" w:cs="宋体"/>
                <w:bCs/>
                <w:color w:val="000000" w:themeColor="text1"/>
                <w:sz w:val="21"/>
                <w:szCs w:val="21"/>
                <w:highlight w:val="none"/>
                <w14:textFill>
                  <w14:solidFill>
                    <w14:schemeClr w14:val="tx1"/>
                  </w14:solidFill>
                </w14:textFill>
              </w:rPr>
              <w:t xml:space="preserve"> 压力控制系统：蒸汽截止阀、过滤器、调节阀、疏水阀等，保证洁净蒸汽的压力稳定。工业蒸汽通过调节阀控制进入发生器的蒸汽压力和流量，从而实现洁净蒸汽的压力稳定。同时疏水系统将冷凝水和不凝性气体排出发生器实现换热器高效换热。系统配置了低压报警，高压报警以及独立的高高压报警等连锁控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主管路水</w:t>
            </w:r>
            <w:r/>
          </w:p>
        </w:tc>
        <w:tc>
          <w:tcPr>
            <w:tcW w:w="3868" w:type="pct"/>
            <w:vAlign w:val="center"/>
            <w:textDirection w:val="lrTb"/>
            <w:noWrap w:val="false"/>
          </w:tcPr>
          <w:p>
            <w:pPr>
              <w:numPr>
                <w:ilvl w:val="0"/>
                <w:numId w:val="1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杠杆式浮球式疏水阀和前后切断阀</w:t>
            </w:r>
            <w:r/>
          </w:p>
          <w:p>
            <w:pPr>
              <w:numPr>
                <w:ilvl w:val="0"/>
                <w:numId w:val="1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疏水阀带排自作用空气阀，排除系统空气</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切断阀</w:t>
            </w:r>
            <w:r/>
          </w:p>
        </w:tc>
        <w:tc>
          <w:tcPr>
            <w:tcW w:w="3868" w:type="pct"/>
            <w:vAlign w:val="center"/>
            <w:textDirection w:val="lrTb"/>
            <w:noWrap w:val="false"/>
          </w:tcPr>
          <w:p>
            <w:pPr>
              <w:numPr>
                <w:ilvl w:val="0"/>
                <w:numId w:val="2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波纹管密封截止阀</w:t>
            </w:r>
            <w:r/>
          </w:p>
          <w:p>
            <w:pPr>
              <w:numPr>
                <w:ilvl w:val="0"/>
                <w:numId w:val="2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球墨铸铁材质</w:t>
            </w:r>
            <w:r/>
          </w:p>
        </w:tc>
      </w:tr>
      <w:tr>
        <w:trPr>
          <w:trHeight w:val="416"/>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3.1.3.3</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过滤器</w:t>
            </w:r>
            <w:r/>
          </w:p>
        </w:tc>
        <w:tc>
          <w:tcPr>
            <w:tcW w:w="3868" w:type="pct"/>
            <w:vAlign w:val="center"/>
            <w:textDirection w:val="lrTb"/>
            <w:noWrap w:val="false"/>
          </w:tcPr>
          <w:p>
            <w:pPr>
              <w:numPr>
                <w:ilvl w:val="0"/>
                <w:numId w:val="2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Y型过滤器</w:t>
            </w:r>
            <w:r/>
          </w:p>
          <w:p>
            <w:pPr>
              <w:numPr>
                <w:ilvl w:val="0"/>
                <w:numId w:val="22"/>
              </w:num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100目</w:t>
            </w:r>
            <w:r/>
          </w:p>
          <w:p>
            <w:pPr>
              <w:numPr>
                <w:ilvl w:val="0"/>
                <w:numId w:val="22"/>
              </w:num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球墨铸铁</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3.1.3.4</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压力控制调节阀</w:t>
            </w:r>
            <w:r/>
          </w:p>
        </w:tc>
        <w:tc>
          <w:tcPr>
            <w:tcW w:w="3868" w:type="pct"/>
            <w:vAlign w:val="center"/>
            <w:textDirection w:val="lrTb"/>
            <w:noWrap w:val="false"/>
          </w:tcPr>
          <w:p>
            <w:pPr>
              <w:numPr>
                <w:ilvl w:val="0"/>
                <w:numId w:val="2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采用反应迅速的蒸汽专用气动调节阀，调节比50：1。阀座耐温</w:t>
            </w:r>
            <w:r>
              <w:rPr>
                <w:rFonts w:hint="eastAsia" w:ascii="宋体" w:hAnsi="宋体" w:eastAsia="宋体" w:cs="宋体"/>
                <w:color w:val="000000" w:themeColor="text1"/>
                <w:sz w:val="21"/>
                <w:szCs w:val="21"/>
                <w:highlight w:val="none"/>
                <w14:textFill>
                  <w14:solidFill>
                    <w14:schemeClr w14:val="tx1"/>
                  </w14:solidFill>
                </w14:textFill>
              </w:rPr>
              <w:t xml:space="preserve">250℃，等百分比阀芯，达到Class Ⅵ级密封。</w:t>
            </w:r>
            <w:r/>
          </w:p>
          <w:p>
            <w:pPr>
              <w:numPr>
                <w:ilvl w:val="0"/>
                <w:numId w:val="2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4~20mA连续控制，定位器具有一键调试功能并带阀位显示反馈，工作温度-10—+80℃，封装等级IP65；</w:t>
            </w:r>
            <w:r/>
          </w:p>
          <w:p>
            <w:pPr>
              <w:numPr>
                <w:ilvl w:val="0"/>
                <w:numId w:val="2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气动执行器,反应迅速</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3.1.3.5</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压力传感器</w:t>
            </w:r>
            <w:r/>
          </w:p>
        </w:tc>
        <w:tc>
          <w:tcPr>
            <w:tcW w:w="3868" w:type="pct"/>
            <w:vAlign w:val="center"/>
            <w:textDirection w:val="lrTb"/>
            <w:noWrap w:val="false"/>
          </w:tcPr>
          <w:p>
            <w:pPr>
              <w:numPr>
                <w:ilvl w:val="0"/>
                <w:numId w:val="2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w:t>
            </w:r>
            <w:r/>
          </w:p>
          <w:p>
            <w:pPr>
              <w:numPr>
                <w:ilvl w:val="0"/>
                <w:numId w:val="2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量程0~10barg</w:t>
            </w:r>
            <w:r/>
          </w:p>
          <w:p>
            <w:pPr>
              <w:numPr>
                <w:ilvl w:val="0"/>
                <w:numId w:val="2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精度≤0.5%</w:t>
            </w:r>
            <w:r/>
          </w:p>
          <w:p>
            <w:pPr>
              <w:numPr>
                <w:ilvl w:val="0"/>
                <w:numId w:val="2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4~20mA输出</w:t>
            </w:r>
            <w:r/>
          </w:p>
          <w:p>
            <w:pPr>
              <w:numPr>
                <w:ilvl w:val="0"/>
                <w:numId w:val="2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封装等级IP65；</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3.1.3.6</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疏水阀</w:t>
            </w:r>
            <w:r/>
          </w:p>
        </w:tc>
        <w:tc>
          <w:tcPr>
            <w:tcW w:w="3868" w:type="pct"/>
            <w:vAlign w:val="center"/>
            <w:textDirection w:val="lrTb"/>
            <w:noWrap w:val="false"/>
          </w:tcPr>
          <w:p>
            <w:pPr>
              <w:numPr>
                <w:ilvl w:val="0"/>
                <w:numId w:val="2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杠杆式浮球式疏水阀和前后切断阀</w:t>
            </w:r>
            <w:r/>
          </w:p>
          <w:p>
            <w:pPr>
              <w:numPr>
                <w:ilvl w:val="0"/>
                <w:numId w:val="25"/>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疏水阀带排自作用空气阀，排除系统空气</w:t>
            </w:r>
            <w:r/>
          </w:p>
        </w:tc>
      </w:tr>
      <w:tr>
        <w:trPr>
          <w:trHeight w:val="361"/>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3.1.3.7</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止回阀</w:t>
            </w:r>
            <w:r/>
          </w:p>
        </w:tc>
        <w:tc>
          <w:tcPr>
            <w:tcW w:w="3868" w:type="pct"/>
            <w:vAlign w:val="center"/>
            <w:textDirection w:val="lrTb"/>
            <w:noWrap w:val="false"/>
          </w:tcPr>
          <w:p>
            <w:pPr>
              <w:numPr>
                <w:ilvl w:val="0"/>
                <w:numId w:val="2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w:t>
            </w:r>
            <w:r/>
          </w:p>
          <w:p>
            <w:pPr>
              <w:numPr>
                <w:ilvl w:val="0"/>
                <w:numId w:val="2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开启压差：22.5mbar</w:t>
            </w:r>
            <w:r/>
          </w:p>
          <w:p>
            <w:pPr>
              <w:numPr>
                <w:ilvl w:val="0"/>
                <w:numId w:val="2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耐温300℃</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3.1.3.8</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切断阀</w:t>
            </w:r>
            <w:r/>
          </w:p>
        </w:tc>
        <w:tc>
          <w:tcPr>
            <w:tcW w:w="3868" w:type="pct"/>
            <w:vAlign w:val="center"/>
            <w:textDirection w:val="lrTb"/>
            <w:noWrap w:val="false"/>
          </w:tcPr>
          <w:p>
            <w:pPr>
              <w:numPr>
                <w:ilvl w:val="0"/>
                <w:numId w:val="2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波纹管密封截止阀</w:t>
            </w:r>
            <w:r/>
          </w:p>
          <w:p>
            <w:pPr>
              <w:numPr>
                <w:ilvl w:val="0"/>
                <w:numId w:val="2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球墨铸铁材质</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3.1.3.9</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压力表</w:t>
            </w:r>
            <w:r/>
          </w:p>
        </w:tc>
        <w:tc>
          <w:tcPr>
            <w:tcW w:w="3868" w:type="pct"/>
            <w:vAlign w:val="center"/>
            <w:textDirection w:val="lrTb"/>
            <w:noWrap w:val="false"/>
          </w:tcPr>
          <w:p>
            <w:pPr>
              <w:numPr>
                <w:ilvl w:val="0"/>
                <w:numId w:val="2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量程0~1.0MPa，</w:t>
            </w:r>
            <w:r/>
          </w:p>
          <w:p>
            <w:pPr>
              <w:numPr>
                <w:ilvl w:val="0"/>
                <w:numId w:val="2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表盘直径不小于100mm</w:t>
            </w:r>
            <w:r/>
          </w:p>
          <w:p>
            <w:pPr>
              <w:numPr>
                <w:ilvl w:val="0"/>
                <w:numId w:val="2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精度1.6级</w:t>
            </w:r>
            <w:r/>
          </w:p>
        </w:tc>
      </w:tr>
      <w:tr>
        <w:trPr>
          <w:trHeight w:val="660"/>
        </w:trPr>
        <w:tc>
          <w:tcPr>
            <w:gridSpan w:val="3"/>
            <w:tcW w:w="5000" w:type="pct"/>
            <w:vAlign w:val="center"/>
            <w:textDirection w:val="lrTb"/>
            <w:noWrap w:val="false"/>
          </w:tcPr>
          <w:p>
            <w:pPr>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3.1.4 TDS控制系统：系统配置TDS检测、自动连续排污和取样冷却器，底部排污等，设备时时感应发生器内水质，当发生器内水质高于设定值时，排放炉水补充新鲜给水，将发生器内炉水控制在合理水平，保证洁净蒸汽纯度。排污系统需要在给水满足WS310.1情况下，排污率低于6%。</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3.1.4.1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电导率传感器</w:t>
            </w:r>
            <w:r/>
          </w:p>
        </w:tc>
        <w:tc>
          <w:tcPr>
            <w:tcW w:w="3868" w:type="pct"/>
            <w:vAlign w:val="center"/>
            <w:textDirection w:val="lrTb"/>
            <w:noWrap w:val="false"/>
          </w:tcPr>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测量范围1-9990µs/ cm，测量精度±2.5%FSD</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带温度补偿</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提供4-20mA输出和RS485通讯</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使用环境温度0-55℃</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密封等级IP65</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红外通讯功能</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耐温不低于200℃</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带控制器，输出信号4~20mA</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3.1.4.2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自动排污阀</w:t>
            </w:r>
            <w:r/>
          </w:p>
        </w:tc>
        <w:tc>
          <w:tcPr>
            <w:tcW w:w="3868" w:type="pct"/>
            <w:vAlign w:val="center"/>
            <w:textDirection w:val="lrTb"/>
            <w:noWrap w:val="false"/>
          </w:tcPr>
          <w:p>
            <w:pPr>
              <w:numPr>
                <w:ilvl w:val="0"/>
                <w:numId w:val="3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阀体材质为316L不锈钢，</w:t>
            </w:r>
            <w:r/>
          </w:p>
          <w:p>
            <w:pPr>
              <w:numPr>
                <w:ilvl w:val="0"/>
                <w:numId w:val="3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泄露率需达到ISO5208的A级，</w:t>
            </w:r>
            <w:r/>
          </w:p>
          <w:p>
            <w:pPr>
              <w:numPr>
                <w:ilvl w:val="0"/>
                <w:numId w:val="3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饱和蒸汽最大工作压力17.5barg；</w:t>
            </w:r>
            <w:r/>
          </w:p>
          <w:p>
            <w:pPr>
              <w:numPr>
                <w:ilvl w:val="0"/>
                <w:numId w:val="3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气动执行器BVA，具有弹簧复位功能，操作温度范围-30~100℃；</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3.1.4.3</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切断阀</w:t>
            </w:r>
            <w:r/>
          </w:p>
        </w:tc>
        <w:tc>
          <w:tcPr>
            <w:tcW w:w="3868" w:type="pct"/>
            <w:vAlign w:val="center"/>
            <w:textDirection w:val="lrTb"/>
            <w:noWrap w:val="false"/>
          </w:tcPr>
          <w:p>
            <w:pPr>
              <w:numPr>
                <w:ilvl w:val="0"/>
                <w:numId w:val="3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w:t>
            </w:r>
            <w:r/>
          </w:p>
          <w:p>
            <w:pPr>
              <w:numPr>
                <w:ilvl w:val="0"/>
                <w:numId w:val="3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三段式球阀3</w:t>
            </w:r>
            <w:r/>
          </w:p>
          <w:p>
            <w:pPr>
              <w:numPr>
                <w:ilvl w:val="0"/>
                <w:numId w:val="3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饱和蒸汽最大工作压力17.5barg；</w:t>
            </w:r>
            <w:r/>
          </w:p>
          <w:p>
            <w:pPr>
              <w:numPr>
                <w:ilvl w:val="0"/>
                <w:numId w:val="31"/>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泄露率需达到ISO5208的A级，</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3.1.4.4</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手动排污阀</w:t>
            </w:r>
            <w:r/>
          </w:p>
        </w:tc>
        <w:tc>
          <w:tcPr>
            <w:tcW w:w="3868" w:type="pct"/>
            <w:vAlign w:val="center"/>
            <w:textDirection w:val="lrTb"/>
            <w:noWrap w:val="false"/>
          </w:tcPr>
          <w:p>
            <w:pPr>
              <w:numPr>
                <w:ilvl w:val="0"/>
                <w:numId w:val="3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接触材质316L</w:t>
            </w:r>
            <w:r/>
          </w:p>
          <w:p>
            <w:pPr>
              <w:numPr>
                <w:ilvl w:val="0"/>
                <w:numId w:val="3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三段式球阀3</w:t>
            </w:r>
            <w:r/>
          </w:p>
          <w:p>
            <w:pPr>
              <w:numPr>
                <w:ilvl w:val="0"/>
                <w:numId w:val="32"/>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饱和蒸汽最大工作压力17.5barg；</w:t>
            </w:r>
            <w:r/>
          </w:p>
          <w:p>
            <w:pPr>
              <w:numPr>
                <w:ilvl w:val="0"/>
                <w:numId w:val="2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泄露率需达到ISO5208的A级</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3.1.4.5</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取样冷取系统</w:t>
            </w:r>
            <w:r/>
          </w:p>
        </w:tc>
        <w:tc>
          <w:tcPr>
            <w:tcW w:w="3868" w:type="pct"/>
            <w:vAlign w:val="center"/>
            <w:textDirection w:val="lrTb"/>
            <w:noWrap w:val="false"/>
          </w:tcPr>
          <w:p>
            <w:pPr>
              <w:numPr>
                <w:ilvl w:val="0"/>
                <w:numId w:val="3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取样冷却器，316L不锈钢材质，自排水设计，</w:t>
            </w:r>
            <w:r/>
          </w:p>
          <w:p>
            <w:pPr>
              <w:numPr>
                <w:ilvl w:val="0"/>
                <w:numId w:val="3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表面光洁度可达Ra0.5μm</w:t>
            </w:r>
            <w:r/>
          </w:p>
          <w:p>
            <w:pPr>
              <w:numPr>
                <w:ilvl w:val="0"/>
                <w:numId w:val="33"/>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自带切断阀</w:t>
            </w:r>
            <w:r/>
          </w:p>
        </w:tc>
      </w:tr>
      <w:tr>
        <w:trPr>
          <w:trHeight w:val="539"/>
        </w:trPr>
        <w:tc>
          <w:tcPr>
            <w:gridSpan w:val="3"/>
            <w:tcW w:w="5000"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3.1.5控制系统：所有功能通过PLC实现自动控制，通过控制面板进行操作。</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3.1.5.1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控制系统</w:t>
            </w:r>
            <w:r/>
          </w:p>
        </w:tc>
        <w:tc>
          <w:tcPr>
            <w:tcW w:w="3868" w:type="pct"/>
            <w:vAlign w:val="center"/>
            <w:textDirection w:val="lrTb"/>
            <w:noWrap w:val="false"/>
          </w:tcPr>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控制柜不锈钢，控制系统选用PLC和彩色触摸屏，内含电器设备，电器元件选用优质品牌；带有风扇调温。</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该控制系统便于操作人员对设备的操作、监测和控制。</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设备的整体控制，为全自动控制模拟显示屏显示系统的运行工况（工业蒸汽调节阀开度，洁净蒸汽压力，洁净蒸汽液位，TDS电导率等等参数）。</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HMI 屏幕及全部为终端用户设计的界面应为中文。</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机组运行历史数据可查询，和报警记录，便于管理和追溯。</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在自动方式下可实现：系统启停机、系统内非正常状态的连锁保护、报警。</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在手动方式下可实现：各运行参数的调试、调节，泵的启停。</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主要的报警功能：低液位报警，高液位报警；低压力报警；高压力报警，泵故障报警。</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系统运行参数和报警可以进行RS485通讯，实时检测设备运行状态。</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配置网关模块，可实现设备网络云平台登录、监测并定期提供分析报告。</w:t>
            </w:r>
            <w:r/>
          </w:p>
          <w:p>
            <w:pPr>
              <w:numPr>
                <w:ilvl w:val="0"/>
                <w:numId w:val="34"/>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材质：SUS304不锈钢；</w:t>
            </w:r>
            <w:r/>
          </w:p>
          <w:p>
            <w:pPr>
              <w:numPr>
                <w:ilvl w:val="0"/>
                <w:numId w:val="34"/>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型式：防尘，防水电控箱、（IP54）及以上</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3.1.5.2</w:t>
            </w:r>
            <w:r/>
          </w:p>
        </w:tc>
        <w:tc>
          <w:tcPr>
            <w:tcW w:w="583" w:type="pct"/>
            <w:vAlign w:val="center"/>
            <w:textDirection w:val="lrTb"/>
            <w:noWrap w:val="false"/>
          </w:tcPr>
          <w:p>
            <w:pPr>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低压配电.控制元件</w:t>
            </w:r>
            <w:r/>
          </w:p>
        </w:tc>
        <w:tc>
          <w:tcPr>
            <w:tcW w:w="3868" w:type="pct"/>
            <w:vAlign w:val="center"/>
            <w:textDirection w:val="lrTb"/>
            <w:noWrap w:val="false"/>
          </w:tcPr>
          <w:p>
            <w:pPr>
              <w:jc w:val="left"/>
              <w:spacing w:line="300" w:lineRule="auto"/>
              <w:widowControl/>
              <w:tabs>
                <w:tab w:val="left" w:pos="312"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系统配套，满足系统要求，包括不限空气开关、交流接触器、中间继电器、交换机、按钮开关等其他低压电气元器件。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3.1.5.3</w:t>
            </w:r>
            <w:r/>
          </w:p>
        </w:tc>
        <w:tc>
          <w:tcPr>
            <w:tcW w:w="583" w:type="pct"/>
            <w:vAlign w:val="center"/>
            <w:textDirection w:val="lrTb"/>
            <w:noWrap w:val="false"/>
          </w:tcPr>
          <w:p>
            <w:pPr>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电线、电缆</w:t>
            </w:r>
            <w:r/>
          </w:p>
        </w:tc>
        <w:tc>
          <w:tcPr>
            <w:tcW w:w="3868" w:type="pct"/>
            <w:vAlign w:val="center"/>
            <w:textDirection w:val="lrTb"/>
            <w:noWrap w:val="false"/>
          </w:tcPr>
          <w:p>
            <w:pPr>
              <w:numPr>
                <w:ilvl w:val="0"/>
                <w:numId w:val="35"/>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电缆选用国标全通电缆材质；</w:t>
            </w:r>
            <w:r/>
          </w:p>
          <w:p>
            <w:pPr>
              <w:numPr>
                <w:ilvl w:val="0"/>
                <w:numId w:val="35"/>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阀门等电源线采用YJV三相四线电缆，</w:t>
            </w:r>
            <w:r/>
          </w:p>
          <w:p>
            <w:pPr>
              <w:numPr>
                <w:ilvl w:val="0"/>
                <w:numId w:val="35"/>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信号传输线采用RVVP规格的屏蔽线；</w:t>
            </w:r>
            <w:r/>
          </w:p>
          <w:p>
            <w:pPr>
              <w:numPr>
                <w:ilvl w:val="0"/>
                <w:numId w:val="35"/>
              </w:numPr>
              <w:ind w:left="0" w:firstLine="0"/>
              <w:jc w:val="left"/>
              <w:spacing w:line="30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其他电控箱内部接线采用相应的RVV和BVR等规格的线缆。</w:t>
            </w:r>
            <w:r/>
          </w:p>
        </w:tc>
      </w:tr>
      <w:tr>
        <w:trPr>
          <w:trHeight w:val="534"/>
        </w:trPr>
        <w:tc>
          <w:tcPr>
            <w:gridSpan w:val="3"/>
            <w:tcW w:w="5000"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3.1.6 管路系统</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工业蒸汽管道</w:t>
            </w:r>
            <w:r/>
          </w:p>
        </w:tc>
        <w:tc>
          <w:tcPr>
            <w:tcW w:w="3868" w:type="pct"/>
            <w:vAlign w:val="center"/>
            <w:textDirection w:val="lrTb"/>
            <w:noWrap w:val="false"/>
          </w:tcPr>
          <w:p>
            <w:pPr>
              <w:numPr>
                <w:ilvl w:val="0"/>
                <w:numId w:val="3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材质：不锈钢</w:t>
            </w:r>
            <w:r/>
          </w:p>
          <w:p>
            <w:pPr>
              <w:numPr>
                <w:ilvl w:val="0"/>
                <w:numId w:val="3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型号：φ89</w:t>
            </w:r>
            <w:r/>
          </w:p>
          <w:p>
            <w:pPr>
              <w:numPr>
                <w:ilvl w:val="0"/>
                <w:numId w:val="36"/>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含管配件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冷凝水管道</w:t>
            </w:r>
            <w:r/>
          </w:p>
        </w:tc>
        <w:tc>
          <w:tcPr>
            <w:tcW w:w="3868" w:type="pct"/>
            <w:vAlign w:val="center"/>
            <w:textDirection w:val="lrTb"/>
            <w:noWrap w:val="false"/>
          </w:tcPr>
          <w:p>
            <w:pPr>
              <w:numPr>
                <w:ilvl w:val="0"/>
                <w:numId w:val="3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材质：不锈钢</w:t>
            </w:r>
            <w:r/>
          </w:p>
          <w:p>
            <w:pPr>
              <w:numPr>
                <w:ilvl w:val="0"/>
                <w:numId w:val="3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公称直径: ≥DN40</w:t>
            </w:r>
            <w:r/>
          </w:p>
          <w:p>
            <w:pPr>
              <w:numPr>
                <w:ilvl w:val="0"/>
                <w:numId w:val="37"/>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含管配件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纯水侧管道</w:t>
            </w:r>
            <w:r/>
          </w:p>
        </w:tc>
        <w:tc>
          <w:tcPr>
            <w:tcW w:w="3868" w:type="pct"/>
            <w:vAlign w:val="center"/>
            <w:textDirection w:val="lrTb"/>
            <w:noWrap w:val="false"/>
          </w:tcPr>
          <w:p>
            <w:pPr>
              <w:numPr>
                <w:ilvl w:val="0"/>
                <w:numId w:val="3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材质：316L</w:t>
            </w:r>
            <w:r/>
          </w:p>
          <w:p>
            <w:pPr>
              <w:numPr>
                <w:ilvl w:val="0"/>
                <w:numId w:val="3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型号：φ32</w:t>
            </w:r>
            <w:r/>
          </w:p>
          <w:p>
            <w:pPr>
              <w:numPr>
                <w:ilvl w:val="0"/>
                <w:numId w:val="38"/>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含管配件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排污管道</w:t>
            </w:r>
            <w:r/>
          </w:p>
        </w:tc>
        <w:tc>
          <w:tcPr>
            <w:tcW w:w="3868"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材质：316L</w:t>
            </w:r>
            <w:r/>
          </w:p>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型号：φ32</w:t>
            </w:r>
            <w:r/>
          </w:p>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含管配件</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压缩空气管道</w:t>
            </w:r>
            <w:r/>
          </w:p>
        </w:tc>
        <w:tc>
          <w:tcPr>
            <w:tcW w:w="3868" w:type="pct"/>
            <w:vAlign w:val="center"/>
            <w:textDirection w:val="lrTb"/>
            <w:noWrap w:val="false"/>
          </w:tcPr>
          <w:p>
            <w:pPr>
              <w:numPr>
                <w:ilvl w:val="0"/>
                <w:numId w:val="3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分配柱材质：铝合金</w:t>
            </w:r>
            <w:r/>
          </w:p>
          <w:p>
            <w:pPr>
              <w:numPr>
                <w:ilvl w:val="0"/>
                <w:numId w:val="39"/>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压缩空气分配管：耐酸碱腐蚀塑料管</w:t>
            </w:r>
            <w:r/>
          </w:p>
          <w:p>
            <w:pPr>
              <w:pStyle w:val="84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包含空压机</w:t>
            </w:r>
            <w:r/>
          </w:p>
        </w:tc>
      </w:tr>
      <w:tr>
        <w:trPr>
          <w:trHeight w:val="581"/>
        </w:trPr>
        <w:tc>
          <w:tcPr>
            <w:gridSpan w:val="3"/>
            <w:tcW w:w="5000"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3.1.7 其他</w:t>
            </w:r>
            <w:r/>
          </w:p>
        </w:tc>
      </w:tr>
      <w:tr>
        <w:trPr>
          <w:trHeight w:val="433"/>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3.1.7.1</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框架</w:t>
            </w:r>
            <w:r/>
          </w:p>
        </w:tc>
        <w:tc>
          <w:tcPr>
            <w:tcW w:w="3868"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配置不锈钢底座</w:t>
            </w:r>
            <w:r/>
          </w:p>
        </w:tc>
      </w:tr>
      <w:tr>
        <w:trPr>
          <w:trHeight w:val="660"/>
        </w:trPr>
        <w:tc>
          <w:tcPr>
            <w:tcW w:w="549"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3.1.7.2</w:t>
            </w:r>
            <w:r/>
          </w:p>
        </w:tc>
        <w:tc>
          <w:tcPr>
            <w:tcW w:w="583" w:type="pct"/>
            <w:vAlign w:val="center"/>
            <w:textDirection w:val="lrTb"/>
            <w:noWrap w:val="false"/>
          </w:tcPr>
          <w:p>
            <w:pPr>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保温</w:t>
            </w:r>
            <w:r/>
          </w:p>
        </w:tc>
        <w:tc>
          <w:tcPr>
            <w:tcW w:w="3868" w:type="pct"/>
            <w:vAlign w:val="center"/>
            <w:textDirection w:val="lrTb"/>
            <w:noWrap w:val="false"/>
          </w:tcPr>
          <w:p>
            <w:pPr>
              <w:numPr>
                <w:ilvl w:val="0"/>
                <w:numId w:val="4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发生器本体和管路配置保温材料，具备易拆卸式搭扣结构，一人无需工具可轻松完成拆卸和安装；</w:t>
            </w:r>
            <w:r/>
          </w:p>
          <w:p>
            <w:pPr>
              <w:numPr>
                <w:ilvl w:val="0"/>
                <w:numId w:val="40"/>
              </w:numPr>
              <w:ind w:left="0" w:firstLine="0"/>
              <w:jc w:val="left"/>
              <w:spacing w:line="30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热传导率不高于0.06kcal/mh℃@400℃，最高使用温度550℃。</w:t>
            </w:r>
            <w:r/>
          </w:p>
        </w:tc>
      </w:tr>
    </w:tbl>
    <w:p>
      <w:pPr>
        <w:pStyle w:val="822"/>
        <w:numPr>
          <w:ilvl w:val="1"/>
          <w:numId w:val="0"/>
        </w:num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3.2蒸汽减压站系统技术要求</w:t>
      </w:r>
      <w:r/>
    </w:p>
    <w:p>
      <w:pPr>
        <w:pStyle w:val="823"/>
        <w:ind w:firstLine="420"/>
        <w:keepLines w:val="0"/>
        <w:pageBreakBefore w:val="0"/>
        <w:spacing w:before="0" w:after="0" w:line="360" w:lineRule="auto"/>
        <w:widowControl w:val="off"/>
        <w:tabs>
          <w:tab w:val="left" w:pos="1429" w:leader="none"/>
        </w:tabs>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.1 蒸汽减压站系统应包含减压阀、过滤器、汽水分离器、减压阀前后截止阀及旁通阀、安全阀、减压阀前后压力表。</w:t>
      </w:r>
      <w:r/>
    </w:p>
    <w:p>
      <w:pPr>
        <w:ind w:right="378" w:firstLine="420"/>
        <w:keepLines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.2蒸汽减压阀：选用导阀型隔膜式减压阀，控制进度±0.1BARG，阀体材质球墨铸铁，阀芯阀座不锈钢，PN16法兰连接。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.3蒸汽过滤器：选用Y型过滤器，100目不锈钢滤网，球墨铸铁阀体，PN16法兰连接。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.4汽水分离器：选用挡板式汽水分离器，球墨铸铁阀体，PN16法兰连接。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.5蒸汽截止阀及旁通阀：选用双波纹管密封截止阀，球墨铸铁阀体，PN16法兰连接。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.6安全阀：选用全行程法兰连接安全阀，球墨铸铁阀体，PN25法兰连接，设计、制造、额定排量符合BS EN ISO9001标准。</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.7压力表：100mm表盘压力表，BSP螺纹连接，0-1.6MPa,包含环形管及旋塞阀。符合GB/T 1226。</w:t>
      </w:r>
      <w:r/>
    </w:p>
    <w:p>
      <w:pPr>
        <w:pStyle w:val="822"/>
        <w:numPr>
          <w:ilvl w:val="1"/>
          <w:numId w:val="0"/>
        </w:num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3.3冷凝水回收系统技术要求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3.3.1选用利用蒸汽作为动力的机械泵组合装置。机械泵组合装置应包括集水槽、泵体、闪蒸汽回收器等，要求组合成撬装运输并交付。为现场施工和布置方便考虑，闪蒸汽回收器应可通过螺栓拆卸。回收器和机械泵之间PN16法兰连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3.3.2泵体设计压力：13.8barg，设计温度：204℃（PN16等级）。</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3.3.3集水槽：开式容器。除冷凝水入口和排汽口之外，也应具备溢流口和备用冷凝水接口。</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3.3.4使用蒸汽作为动力。撬装整体中应具备动力蒸汽的过滤和疏水功能，提高动力蒸汽品质。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3.3.5为保证冷凝水的正常排放，闪蒸气换热器的安装不能对蒸汽系统的疏水造成背压。</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3.3.6为提高效率，闪蒸汽回收换热器形式应为卧式管壳式换热器。换热管应为波纹直管，提高流体湍流度。</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3.3.7使用食堂用水为闪蒸汽消气，食堂用水走管侧，闪蒸气走壳侧，食堂用水与闪蒸汽不接触。设置自动液位控制，可在存热水箱满的情况下不再进入存热水箱中，减少水和热量的浪费。 自动控制系统可集成在蒸汽发生器控制柜中。</w:t>
      </w:r>
      <w:r/>
    </w:p>
    <w:p>
      <w:pPr>
        <w:pStyle w:val="822"/>
        <w:numPr>
          <w:ilvl w:val="1"/>
          <w:numId w:val="0"/>
        </w:numP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3.4设备安装技术要求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3.4.1 RO水给水系统</w:t>
      </w:r>
      <w:r/>
    </w:p>
    <w:p>
      <w:pPr>
        <w:pStyle w:val="840"/>
        <w:ind w:firstLine="420"/>
        <w:keepLines w:val="0"/>
        <w:pageBreakBefore w:val="0"/>
        <w:spacing w:after="0"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RO水系统：从预留RO水给水接点处取水，接至新增洁净蒸汽发生器：RO水泵应具有足够大的扬程，使得RO水输送至洁净蒸汽发生器的进口时，水压不小于2.5barg，并能够提供不小于1320kg/h的流量；过流材质应符合水质要求，给水中各种成分含量要求如下：</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3.4.2工业蒸汽调压、输送及分配系统</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（1）工业蒸汽调压、输送及分配系统安装范围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 从院内指定点引至新增工业分汽缸；</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 从新增工业分汽缸出口经调压后送至指定接点位置；</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 从新增工业分汽缸出口至1#新增洁净蒸汽发生器进口；</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 从新增工业分汽缸出口至2#利旧的洁净蒸汽发生器进口；</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 设置一路蒸汽管道分两路分别接入洁净蒸汽发生器和夹套锅；工业蒸汽压力约7barg。</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（2）输送管路疏水：蒸汽输送管路必要处设置疏水阀组，及时排除管道冷凝水，保证蒸汽品质，降低水锤风险；疏水点设置集水槽。</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夹套锅蒸汽减压站：夹套锅上游配置减压站，工业蒸汽经减压后分四路支管接入夹套锅蒸汽入口；减压站配置包括截止阀、过滤器、压力表、减压阀、旁通阀、安全阀；减压阀采用自作用导阀型减压阀；减压要求为7barg减压至2barg，蒸汽流量满足夹套锅用汽需求，单台夹套锅额定用汽量约150kg/h，共4台。</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蒸箱蒸汽减压站：为蒸箱设置一套工业蒸汽减压阀，在洁净蒸汽发生器检修时可为蒸箱临时提供蒸汽；减压站配置包括截止阀、过滤器、压力表、减压阀、旁通阀、安全阀；减压阀采用自作用导阀型减压阀；减压要求为7barg减压至2barg，蒸汽流量满足蒸箱用汽需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3.4.3 洁净蒸汽产生、输送及分配系统</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（1）从新增洁净分汽缸引至指定接点处；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（2）从新增1#洁净蒸汽发生器引至新增洁净分汽缸；</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（3）从利旧2#洁净蒸汽发生器引至新增洁净分汽缸； </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洁净蒸汽发生器：利用现场饱和工业蒸汽、纯水制备洁净蒸汽；洁净蒸汽量：1200kg/h，洁净蒸汽压力2barg。</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3.4.4 冷凝水及相关系统</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包括冷凝水输送系统、冷凝水热能回收系统、热水循环系统、仪表压空系统、洁净蒸汽与工业蒸汽调压及联通系统、排污系统、排空系统等。</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（1）冷凝水输送系统、冷凝水热能回收系统以及热水循环系统安装范围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 从新增洁净分汽缸疏水引至新增冷凝水输送泵组；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 从新增工业分汽缸疏水引至新增冷凝水输送泵组；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 从新增1#洁净洁净蒸汽发生器引至新增冷凝水输送泵组；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 从利旧2#洁净洁净蒸汽发生器引至新增冷凝水输送泵组；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 从新增汽水分离器引至新增冷凝水输送泵组；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 回收冷凝水从指定接点处引至新增冷凝水输送泵组；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7) 从新增冷凝水输送泵引至指定接点处；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8) 热水（给回）循环系统从指定接点处引至新增冷凝水输送泵组；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（2）仪表压空系统、洁净蒸汽与工业蒸汽调压及联通系统安装范围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 从新增洁净分汽缸引至新增工业蒸汽分汽缸；</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 空压机引至2台洁净蒸汽发生器；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（3）排污系统、排空系统安装范围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 从洁净蒸汽发生器至B4排污口接点；</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 从洁净蒸汽发生器、新增分汽缸安全阀排空口引至指定接点位置；</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（4）夹套锅疏水阀组：4台夹套锅冷凝水出口各设置一套疏水阀组；疏水阀采用压力平衡式热静力疏水阀，并配套相应切断阀、旁通阀、单向阀。</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（5）冷凝水管路：工业蒸汽管路疏水、洁净蒸汽管路疏水、夹套锅设备疏水从疏水阀组出口、由各支管汇入一根冷凝水主管后，由冷凝水主管将冷凝水输送至锅炉房冷凝水箱。</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3.4.5设备安装要求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（1）设备安装除按国家有关施工及验收规范执行外，还应遵守设备制造厂家的技术要求，设备应在供货商的指导下进行安装。</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（2）设备到货后，要开箱严格检查，满足发货清单的要求并无损伤，才能进行安装。设备随机资料及证书应妥善保管。（提供压力容器相关资料）</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（3）在浇设备基础之前，必须校对到货设备的基础尺寸是否与设计图纸相符，当确定无误后方可按土建图纸施工，否则应按到货设备的的实际基础尺寸进行调整并施工。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（4）各振动设备安装时应增设橡胶隔振垫。为减少设备运行时的噪声和振动，在冷水机组、水泵、空压机等运转设备连接的进、出口管上加装减振挠性接头。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（5）分气缸、锅炉等热力设备支座的安装，应使设备具有热位移的可能。</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（6）设备安装就位完成后应设置相应的安全保护措施。</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（7）各设备应按照制造厂家的技术要求进行，无压容器应进行盛水试验，试验要求应按照国家通用要求进行。</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3.4.6管道安装要求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（1）管道系统中所有的管道，管件，阀门及仪表应符合设计的型号，规格及标准，必须有生产厂的出厂合格证，并按规范进行检验。</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（2）安装前对碳钢管和不锈钢管及各种阀件应按各品种分别存放，存放处应有明显标志，存取时要做到安全、方便、清洁，严禁随意拆包或搬出造成污染。</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无缝钢管安装前应对管道内外壁进行处理，采用钢丝拉刷或用喷砂处理，除去管道内壁铁锈及各种污物，再用干燥压缩空气吹扫，确认无污物和杂质后方可进行安装。安装前应对管道、附件、阀门等的型号，材质进行检验，各项指标达到设计要求后方可进行安装。无缝钢管焊接时严防铁锈、焊渣等杂物掉入管道内。</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（4）不锈钢管切断时要防止管子变形，然后再用专用工具去掉管子内外壁的毛刺。不锈钢管道底层焊道使用氩弧焊时，需氩气进行保护。</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（5）管道穿楼板、墙时应加装保护套管，套管内径应比管道外径（保温管道为保温层外径）大2 号以上，套管与管道间隙填密封膏。穿墙体处的套管两端与墙平，间隙用耐火材料堵严。管道穿吊顶处应做密封处理，套管内的管段不得有焊缝。</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（6）除设计文件和焊接工艺规程另有规定外，焊接完成后应将焊缝表面清理干净，同时应进行外观检查，焊缝无损检测应安排在外观检查合格后进行。</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7）管道安装完毕、无损检测合格后，应按设计文件要求或国家现行有关标准规定进行压力试验，试验合格后应进行全系统的吹扫和清洗，彻底清除安装及试验过程中的焊渣、锈质、污物及积水。吹扫前，应将系统内不允许吹扫的设备、阀门、附件、仪表予以保护和隔离。</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（8）碳钢管道安装完毕（试压合格）后，均应刷防锈漆两遍。</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（9）施工应遵守用户安全管理制度要求，施工区域进行隔离防护措施。</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3.4.7支撑</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（1）管道支吊架按国家标准图集要求进行施工、安装，管道支、吊架一般情况下可采用膨胀螺栓固定。</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（2）管道支、吊架的预埋件或膨胀螺栓，位置应正确、牢固可靠。</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（3）管道支、吊架应避开法兰、测量孔和调节阀件设置，以免影响操作。</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（4）管道安装完毕后，应按设计文件规定逐个核对支、吊架的形式和位置。</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（5）金属支、吊架在表面除锈后，，应刷环氧富锌底漆两遍，中灰面漆使用丙烯聚氨酯二遍。</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（6）按照管道内流体的性质选用合适的支架，确保系统运行时不会损坏。</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3.4.8保温和防冻要求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（1）热力管道和设备表面温度大于 50°C 者必须保温。</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（2）系统吹污、试压、渗漏检查均符合要求后，方可对系统的有关设备、管道进行保温。</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（3）穿楼板和墙的保温管道，其保温层不得间断。</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（4）现场动力能源提供水，用于管路清洗临时施工用电预制场地，材料存放场地，设备拆除堆放场地保温结构、材料及厚度应按设计文件要求施工。</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3.4.9 现场材料要求</w:t>
      </w:r>
      <w:r/>
    </w:p>
    <w:tbl>
      <w:tblPr>
        <w:tblStyle w:val="831"/>
        <w:tblW w:w="0" w:type="auto"/>
        <w:jc w:val="center"/>
        <w:tblLayout w:type="autofit"/>
        <w:tblCellMar>
          <w:left w:w="0" w:type="dxa"/>
          <w:top w:w="0" w:type="dxa"/>
          <w:right w:w="0" w:type="dxa"/>
          <w:bottom w:w="0" w:type="dxa"/>
        </w:tblCellMar>
        <w:tblLook w:val="04A0" w:firstRow="1" w:lastRow="0" w:firstColumn="1" w:lastColumn="0" w:noHBand="0" w:noVBand="1"/>
      </w:tblPr>
      <w:tblGrid>
        <w:gridCol w:w="636"/>
        <w:gridCol w:w="2946"/>
        <w:gridCol w:w="2579"/>
        <w:gridCol w:w="1686"/>
      </w:tblGrid>
      <w:tr>
        <w:trPr>
          <w:jc w:val="center"/>
          <w:trHeight w:val="28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材质及标准</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工业蒸汽管道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GB8163,20#碳钢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洁净蒸汽管道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GB14976,304材质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无缝不锈钢钢管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冷凝水管道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GB14976,20#材质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安全排空管道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GB8163,20#碳钢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排污管道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GB8163,20#碳钢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溢流管道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GB8163,20#碳钢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软水/RO水管道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GB14976,316L材质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无缝不锈钢钢管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仪表压缩空气</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镀锌钢管</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保温棉</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岩棉/离心玻璃棉</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保温外护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0.5mm铝皮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管道支架</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Q235型钢及钢板现场制作</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螺栓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碳钢材质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垫片</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金属缠绕石墨垫片/PTFE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对应管道材质，HG20592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平焊法兰</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管件（三通、弯头、大小头）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对应管道材质，GB12459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冲压无缝管件</w:t>
            </w:r>
            <w:r/>
          </w:p>
        </w:tc>
      </w:tr>
      <w:tr>
        <w:trPr>
          <w:jc w:val="center"/>
          <w:trHeight w:val="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电缆管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镀锌电缆保护管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0" w:type="auto"/>
            <w:vAlign w:val="center"/>
            <w:textDirection w:val="lrTb"/>
            <w:noWrap w:val="false"/>
          </w:tcPr>
          <w:p>
            <w:pPr>
              <w:contextualSpacing/>
              <w:jc w:val="center"/>
              <w:spacing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Style w:val="822"/>
        <w:numPr>
          <w:ilvl w:val="1"/>
          <w:numId w:val="0"/>
        </w:numPr>
        <w:keepLines/>
        <w:keepNext/>
        <w:pageBreakBefore w:val="0"/>
        <w:spacing w:before="240"/>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3.5维保方案</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质保间内中选单位或委托制造厂商技术工程师需每月进行一次现场巡检并向买方提交巡检报告，每年向买方提交一份年度维保报告。</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3.5.1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洁净蒸汽发生器维护保养要求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每季度检查洁净蒸汽发生器运行状况控制逻辑</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每季度检查调整PLC参数</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每季度检查控制柜接线</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每季度检查调节阀零点行程，若有异常则调整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每季度检查疏水阀运行状况</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每年1次拆检清洁疏水阀内部机构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（7）</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每年1次拆检清洁过滤器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（8）</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每2年周期更换调节阀执行器膜片</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（9）</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每年1次校准调节阀定位器零点行程</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每2年周期拆检清洁过滤器、疏水阀、校准定位器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每3-4年清洗换热器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3.5.2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减压站维护保养要求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每季度检查减压站运行状况并根据现场情况调整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每年1次拆检清洁内部机构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每年1次拆检清洁减压阀前过滤器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每2年周期更换导阀膜片、更换导阀芯、更换主阀膜片</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3.5.3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疏水阀维护保养要求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每季度检测疏水阀运行状况</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每年1次拆检清洁疏水阀内部机构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每年1次拆检清洁疏水阀前过滤器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每2年周期拆检清洁疏水阀内部机构、疏水阀前过滤器</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3.5.4</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冷凝水回收泵组维护保养要求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每季度检测冷凝水回收泵运行状况</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每年1次拆检清洁冷凝水回收内部机构</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每年1次拆检清洁冷凝水回收泵前过滤器及止回阀</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每2年周期拆检清洁冷凝水回收泵内部机构、冷凝水回收泵前过滤器</w:t>
      </w:r>
      <w:r/>
    </w:p>
    <w:p>
      <w:pPr>
        <w:pStyle w:val="822"/>
        <w:numPr>
          <w:ilvl w:val="1"/>
          <w:numId w:val="0"/>
        </w:numPr>
        <w:keepLines/>
        <w:keepNext/>
        <w:pageBreakBefore w:val="0"/>
        <w:spacing w:before="240"/>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★3.6配套售后服务要求</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1、提供中英文用户操作手册、维修手册及操作规程，其中中文用户操作手册2份。提供消耗品、易损件清单及价格。</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2、免费培训（操作及维护现场培训），培训方案须经业主人员批准。</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设备整机质保（含维护保养）期≥3年，质保（含维护保养）期制造厂商技术工程师需每月进行一次现场巡检并向买方提交巡检报告，每年向买方提交一份年度维保报告。质保（含维护保养）期内所需零配件由中选单位负责。</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4、出现故障响应时间≤24小时。</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5、维修备件供应时间≥10年。</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6、密码支持，终身免费软件升级。</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7、质保期内免费维保。</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8、供应商根据需求提供一年一次的蒸汽系统知识培训。 </w:t>
      </w:r>
      <w:r/>
    </w:p>
    <w:p>
      <w:pPr>
        <w:pStyle w:val="840"/>
        <w:ind w:firstLine="420"/>
        <w:keepLines w:val="0"/>
        <w:pageBreakBefore w:val="0"/>
        <w:spacing w:after="0" w:line="360" w:lineRule="auto"/>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上述要求供应商均需提供承诺书并加盖公章，相关费用供应商需自行考虑到投标报价中。</w:t>
      </w:r>
      <w:r/>
    </w:p>
    <w:p>
      <w:pPr>
        <w:pStyle w:val="824"/>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商务条款</w:t>
      </w:r>
      <w:r/>
    </w:p>
    <w:p>
      <w:pPr>
        <w:ind w:firstLine="422"/>
        <w:jc w:val="left"/>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Cs w:val="21"/>
          <w:highlight w:val="none"/>
          <w:lang w:val="zh-CN"/>
          <w14:textFill>
            <w14:solidFill>
              <w14:schemeClr w14:val="tx1"/>
            </w14:solidFill>
          </w14:textFill>
        </w:rPr>
        <w:t xml:space="preserve">、本项目完工时间为</w:t>
      </w:r>
      <w:r>
        <w:rPr>
          <w:rFonts w:hint="eastAsia" w:ascii="宋体" w:hAnsi="宋体" w:cs="宋体"/>
          <w:b/>
          <w:bCs/>
          <w:color w:val="000000" w:themeColor="text1"/>
          <w:szCs w:val="21"/>
          <w:highlight w:val="none"/>
          <w:lang w:val="en-US" w:eastAsia="zh-CN"/>
          <w14:textFill>
            <w14:solidFill>
              <w14:schemeClr w14:val="tx1"/>
            </w14:solidFill>
          </w14:textFill>
        </w:rPr>
        <w:t xml:space="preserve">75个日历日内</w:t>
      </w:r>
      <w:r>
        <w:rPr>
          <w:rFonts w:hint="eastAsia" w:ascii="宋体" w:hAnsi="宋体" w:eastAsia="宋体" w:cs="宋体"/>
          <w:b/>
          <w:bCs/>
          <w:color w:val="000000" w:themeColor="text1"/>
          <w:szCs w:val="21"/>
          <w:highlight w:val="none"/>
          <w:lang w:val="zh-CN"/>
          <w14:textFill>
            <w14:solidFill>
              <w14:schemeClr w14:val="tx1"/>
            </w14:solidFill>
          </w14:textFill>
        </w:rPr>
        <w:t xml:space="preserve">。</w:t>
      </w:r>
      <w:r/>
    </w:p>
    <w:p>
      <w:pPr>
        <w:pStyle w:val="876"/>
        <w:ind w:firstLine="420"/>
        <w:spacing w:line="360" w:lineRule="auto"/>
        <w:rPr>
          <w:rFonts w:hint="default" w:eastAsia="宋体"/>
          <w:b/>
          <w:bCs/>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lang w:val="en-US" w:eastAsia="zh-CN"/>
          <w14:textFill>
            <w14:solidFill>
              <w14:schemeClr w14:val="tx1"/>
            </w14:solidFill>
          </w14:textFill>
        </w:rPr>
        <w:t xml:space="preserve">、付款方式：货到验收合格且设备正常运行之日起30日内，甲方收到乙方开具的合法有效发票后支付合同总额的30%；验收合格且设备正常运行之日起120日内，甲方支付合同总额的60%；验收合格且设备正常运行之日起一年，甲方无息付清余款。结算时，乙方开具正式发票，当面交或信函至甲方，发票不能由第三方代开。如乙方未开具正式发票，甲方有权拒付该部分费用，由此产生的损失，由乙方自行承担，与甲方无关。 </w:t>
      </w:r>
      <w:r/>
    </w:p>
    <w:p>
      <w:pPr>
        <w:pStyle w:val="824"/>
        <w:rPr>
          <w:rFonts w:hint="eastAsia" w:ascii="宋体" w:hAnsi="宋体" w:eastAsia="宋体" w:cs="宋体"/>
          <w:b/>
          <w:bCs/>
          <w:color w:val="000000" w:themeColor="text1"/>
          <w:sz w:val="21"/>
          <w:szCs w:val="21"/>
          <w:highlight w:val="none"/>
          <w:lang w:val="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采购清单</w:t>
      </w:r>
      <w:r/>
    </w:p>
    <w:tbl>
      <w:tblPr>
        <w:tblStyle w:val="831"/>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270"/>
        <w:gridCol w:w="687"/>
        <w:gridCol w:w="6307"/>
        <w:gridCol w:w="692"/>
        <w:gridCol w:w="682"/>
      </w:tblGrid>
      <w:tr>
        <w:trPr>
          <w:jc w:val="center"/>
          <w:trHeight w:val="322"/>
        </w:trPr>
        <w:tc>
          <w:tcPr>
            <w:tcBorders>
              <w:top w:val="single" w:color="auto" w:sz="4" w:space="0"/>
              <w:left w:val="single" w:color="auto" w:sz="4" w:space="0"/>
              <w:bottom w:val="single" w:color="auto" w:sz="4" w:space="0"/>
              <w:right w:val="single" w:color="auto" w:sz="4" w:space="0"/>
            </w:tcBorders>
            <w:tcW w:w="1270"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系统</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设备名称</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682" w:type="dxa"/>
            <w:vAlign w:val="top"/>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数量</w:t>
            </w:r>
            <w:r/>
          </w:p>
        </w:tc>
      </w:tr>
      <w:tr>
        <w:trPr>
          <w:jc w:val="center"/>
          <w:trHeight w:val="322"/>
        </w:trPr>
        <w:tc>
          <w:tcPr>
            <w:tcBorders>
              <w:top w:val="none" w:color="000000" w:sz="4" w:space="0"/>
              <w:left w:val="single" w:color="auto" w:sz="4" w:space="0"/>
              <w:right w:val="single" w:color="auto" w:sz="4" w:space="0"/>
            </w:tcBorders>
            <w:tcW w:w="1270"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一、分汽缸系统</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φ273 工业蒸汽分汽缸 ，碳钢材质，1只</w:t>
            </w:r>
            <w:r/>
          </w:p>
        </w:tc>
        <w:tc>
          <w:tcPr>
            <w:tcBorders>
              <w:top w:val="single" w:color="auto" w:sz="4" w:space="0"/>
              <w:left w:val="none" w:color="000000" w:sz="4" w:space="0"/>
              <w:bottom w:val="single" w:color="auto" w:sz="4" w:space="0"/>
              <w:right w:val="single" w:color="auto" w:sz="4" w:space="0"/>
            </w:tcBorders>
            <w:tcW w:w="692"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top w:val="single" w:color="auto" w:sz="4" w:space="0"/>
              <w:left w:val="none" w:color="000000" w:sz="4" w:space="0"/>
              <w:bottom w:val="single" w:color="auto" w:sz="4" w:space="0"/>
              <w:right w:val="single" w:color="auto" w:sz="4" w:space="0"/>
            </w:tcBorders>
            <w:tcW w:w="682"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DN100 波纹管密封截止阀，PN16法兰连接，球墨铸铁阀体，2只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波纹管密封截止阀，PN16法兰连接，球墨铸铁阀体，3只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波纹管密封截止阀，PN16法兰连接，球墨铸铁阀体，1只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波纹管密封截止阀，PN16法兰连接，球墨铸铁阀体，4只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DN40 弹簧全启式安全阀，PN25法兰连接，球墨铸铁阀体，设压8.5barg，1只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压力表，0-1.6MPA，1只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杠杆浮球式疏水阀，PN16法兰连接，不锈钢阀体，1只</w:t>
            </w:r>
            <w:r/>
          </w:p>
        </w:tc>
        <w:tc>
          <w:tcPr>
            <w:tcBorders>
              <w:top w:val="single" w:color="auto" w:sz="4" w:space="0"/>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Y型过滤器，PN16法兰连接，球墨铸铁阀体，0.8mm滤网，1只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碟片式止回阀，PN16法兰对夹连接，不锈钢阀体， 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φ426 洁净蒸汽分汽缸 ，不锈钢材质，1只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DN150 波纹管密封截止阀，PN16法兰连接，不锈钢阀体，1只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DN125 波纹管密封截止阀，PN16法兰连接，不锈钢阀体，2只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DN100 波纹管密封截止阀，PN16法兰连接，不锈钢阀体，1只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波纹管密封截止阀，PN16法兰连接，球墨铸铁阀体，3只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DN40 弹簧全启式安全阀，BSP 螺纹连接，青铜阀体，设压5barg，1只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压力表，0-1.6MPA，1只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杠杆浮球式疏水阀，PN16法兰连接，不锈钢阀体，1只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Y型过滤器，PN16法兰连接，球墨铸铁阀体，0.8mm滤网，1只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bottom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碟片式止回阀，PN16法兰对夹连接，不锈钢阀体， 1只</w:t>
            </w:r>
            <w:r/>
          </w:p>
        </w:tc>
        <w:tc>
          <w:tcPr>
            <w:tcBorders>
              <w:top w:val="single" w:color="auto" w:sz="4" w:space="0"/>
              <w:left w:val="none" w:color="000000" w:sz="4" w:space="0"/>
              <w:bottom w:val="single" w:color="auto" w:sz="4" w:space="0"/>
              <w:right w:val="single" w:color="auto" w:sz="4" w:space="0"/>
            </w:tcBorders>
            <w:tcW w:w="692" w:type="dxa"/>
            <w:vAlign w:val="top"/>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top"/>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top w:val="none" w:color="000000" w:sz="4" w:space="0"/>
              <w:left w:val="single" w:color="auto" w:sz="4" w:space="0"/>
              <w:right w:val="single" w:color="auto" w:sz="4" w:space="0"/>
            </w:tcBorders>
            <w:tcW w:w="1270"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二、蒸锅、洗碗机蒸汽减压站系统</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汽水分离器，PN16法兰连接，球墨铸铁阀体，1只</w:t>
            </w:r>
            <w:r/>
          </w:p>
        </w:tc>
        <w:tc>
          <w:tcPr>
            <w:tcBorders>
              <w:top w:val="single" w:color="auto" w:sz="4" w:space="0"/>
              <w:left w:val="none" w:color="000000" w:sz="4" w:space="0"/>
              <w:right w:val="single" w:color="auto" w:sz="4" w:space="0"/>
            </w:tcBorders>
            <w:tcW w:w="692"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top w:val="single" w:color="auto" w:sz="4" w:space="0"/>
              <w:left w:val="none" w:color="000000" w:sz="4" w:space="0"/>
              <w:right w:val="single" w:color="auto" w:sz="4" w:space="0"/>
            </w:tcBorders>
            <w:tcW w:w="682"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杠杆浮球式疏水阀，PN16法兰连接，不锈钢阀体，1只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Y型过滤器，PN16法兰连接，球墨铸铁阀体，0.8mm滤网，1只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碟片式止回阀，PN16法兰对夹连接，不锈钢阀体， 1只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波纹管密封截止阀，PN16法兰连接，球墨铸铁阀体，3只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波纹管密封截止阀，PN16法兰连接，球墨铸铁阀体，2只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Y型过滤器，PN16法兰连接，球墨铸铁阀体，100目滤网，2只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压力表，0-1.6MPA，2只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DN40 导阀式蒸汽减压阀，PN16法兰连接，球墨铸铁阀体，2只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DN65 波纹管密封截止阀，PN16法兰连接，球墨铸铁阀体，2只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DN40 波纹管密封截止阀，PN16法兰连接，球墨铸铁阀体，1只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bottom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DN32 弹簧全启式安全阀，PN25法兰连接，球墨铸铁阀体，设压5barg，1只</w:t>
            </w:r>
            <w:r/>
          </w:p>
        </w:tc>
        <w:tc>
          <w:tcPr>
            <w:tcBorders>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none" w:color="000000" w:sz="4" w:space="0"/>
              <w:left w:val="single" w:color="auto" w:sz="4" w:space="0"/>
              <w:right w:val="single" w:color="auto" w:sz="4" w:space="0"/>
            </w:tcBorders>
            <w:tcW w:w="1270" w:type="dxa"/>
            <w:vAlign w:val="center"/>
            <w:vMerge w:val="restart"/>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三、冷凝水回收机械泵组及热回收系统</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冷凝水回收机械泵，双泵组，球墨铸铁泵体，PN16法兰连接，带闪蒸气回收器，1台</w:t>
            </w:r>
            <w:r/>
          </w:p>
        </w:tc>
        <w:tc>
          <w:tcPr>
            <w:tcBorders>
              <w:left w:val="none" w:color="000000" w:sz="4" w:space="0"/>
              <w:right w:val="single" w:color="auto" w:sz="4" w:space="0"/>
            </w:tcBorders>
            <w:tcW w:w="692"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left w:val="none" w:color="000000" w:sz="4" w:space="0"/>
              <w:right w:val="single" w:color="auto" w:sz="4" w:space="0"/>
            </w:tcBorders>
            <w:tcW w:w="682"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排空帽，PN16法兰连接，不锈钢材质，1只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DN100 切断蝶阀，PN16法兰对夹连接，不锈钢材质，3只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DN100 气动蝶阀，PN16法兰对夹连接，不锈钢材质，4只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温度计，0-300℃，2只</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控制柜，1台</w:t>
            </w:r>
            <w:r/>
          </w:p>
        </w:tc>
        <w:tc>
          <w:tcPr>
            <w:tcBorders>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left w:val="single" w:color="auto" w:sz="4" w:space="0"/>
              <w:bottom w:val="single" w:color="auto" w:sz="4" w:space="0"/>
              <w:right w:val="single" w:color="auto" w:sz="4" w:space="0"/>
            </w:tcBorders>
            <w:tcW w:w="1270" w:type="dxa"/>
            <w:vAlign w:val="center"/>
            <w:vMerge w:val="continue"/>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液位计，1500mm高度，1只</w:t>
            </w:r>
            <w:r/>
          </w:p>
        </w:tc>
        <w:tc>
          <w:tcPr>
            <w:tcBorders>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1256"/>
        </w:trPr>
        <w:tc>
          <w:tcPr>
            <w:tcBorders>
              <w:top w:val="none" w:color="000000" w:sz="4" w:space="0"/>
              <w:left w:val="single" w:color="auto" w:sz="4" w:space="0"/>
              <w:bottom w:val="single" w:color="auto" w:sz="4" w:space="0"/>
              <w:right w:val="single" w:color="auto" w:sz="4" w:space="0"/>
            </w:tcBorders>
            <w:tcW w:w="1270" w:type="dxa"/>
            <w:vAlign w:val="center"/>
            <w:textDirection w:val="lrTb"/>
            <w:noWrap/>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w:t>
            </w:r>
            <w:r>
              <w:rPr>
                <w:rFonts w:hint="eastAsia" w:ascii="宋体" w:hAnsi="宋体" w:eastAsia="宋体" w:cs="宋体"/>
                <w:b/>
                <w:bCs/>
                <w:color w:val="000000" w:themeColor="text1"/>
                <w:szCs w:val="21"/>
                <w:highlight w:val="none"/>
                <w14:textFill>
                  <w14:solidFill>
                    <w14:schemeClr w14:val="tx1"/>
                  </w14:solidFill>
                </w14:textFill>
              </w:rPr>
              <w:t xml:space="preserve">洁净蒸汽发生器（核心产品）</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洁净蒸汽发生器，单套洁净蒸汽产汽量1500kg/h，出口压力2BARG</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top w:val="none" w:color="000000" w:sz="4" w:space="0"/>
              <w:left w:val="none" w:color="000000" w:sz="4" w:space="0"/>
              <w:bottom w:val="single" w:color="auto" w:sz="4" w:space="0"/>
              <w:right w:val="single" w:color="auto" w:sz="4" w:space="0"/>
            </w:tcBorders>
            <w:tcW w:w="682"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r>
        <w:trPr>
          <w:jc w:val="center"/>
          <w:trHeight w:val="561"/>
        </w:trPr>
        <w:tc>
          <w:tcPr>
            <w:tcBorders>
              <w:top w:val="single" w:color="auto" w:sz="4" w:space="0"/>
              <w:left w:val="single" w:color="auto" w:sz="4" w:space="0"/>
              <w:bottom w:val="single" w:color="auto" w:sz="4" w:space="0"/>
              <w:right w:val="single" w:color="auto" w:sz="4" w:space="0"/>
            </w:tcBorders>
            <w:tcW w:w="1270"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五、蒸汽发生器蒸汽减压旁路系统</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汽水分离器，PN16法兰连接，球墨铸铁阀体，1只</w:t>
            </w:r>
            <w:r/>
          </w:p>
        </w:tc>
        <w:tc>
          <w:tcPr>
            <w:tcBorders>
              <w:top w:val="none" w:color="000000" w:sz="4" w:space="0"/>
              <w:left w:val="none" w:color="000000" w:sz="4" w:space="0"/>
              <w:right w:val="single" w:color="auto" w:sz="4" w:space="0"/>
            </w:tcBorders>
            <w:tcW w:w="692"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top w:val="none" w:color="000000" w:sz="4" w:space="0"/>
              <w:left w:val="none" w:color="000000" w:sz="4" w:space="0"/>
              <w:right w:val="single" w:color="auto" w:sz="4" w:space="0"/>
            </w:tcBorders>
            <w:tcW w:w="682"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杠杆浮球式疏水阀，PN16法兰连接，不锈钢阀体，1只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Y型过滤器，PN16法兰连接，球墨铸铁阀体，0.8mm滤网，1只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碟片式止回阀，PN16法兰对夹连接，不锈钢阀体， 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DN25 波纹管密封截止阀，PN16法兰连接，球墨铸铁阀体，3只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波纹管密封截止阀，PN16法兰连接，球墨铸铁阀体，1只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DN80 Y型过滤器，PN16法兰连接，球墨铸铁阀体，100目滤网，1只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1"/>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压力表，0-1.6MPA，2只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导阀式蒸汽减压阀，PN16法兰连接，球墨铸铁阀体，1只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DN150 波纹管密封截止阀，PN16法兰连接，球墨铸铁阀体，1只</w:t>
            </w:r>
            <w:r/>
          </w:p>
        </w:tc>
        <w:tc>
          <w:tcPr>
            <w:tcBorders>
              <w:top w:val="none" w:color="000000" w:sz="4" w:space="0"/>
              <w:left w:val="none" w:color="000000"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DN50 波纹管密封截止阀，PN16法兰连接，球墨铸铁阀体，1只</w:t>
            </w:r>
            <w:r/>
          </w:p>
        </w:tc>
        <w:tc>
          <w:tcPr>
            <w:tcBorders>
              <w:top w:val="none" w:color="000000" w:sz="4" w:space="0"/>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top w:val="single" w:color="auto" w:sz="4" w:space="0"/>
              <w:left w:val="single" w:color="auto" w:sz="4" w:space="0"/>
              <w:right w:val="single" w:color="auto" w:sz="4" w:space="0"/>
            </w:tcBorders>
            <w:tcW w:w="1270"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六、管路疏水系统</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杠杆浮球式疏水阀，PN16法兰连接，不锈钢阀体，3只</w:t>
            </w:r>
            <w:r/>
          </w:p>
        </w:tc>
        <w:tc>
          <w:tcPr>
            <w:tcBorders>
              <w:top w:val="single" w:color="auto" w:sz="4" w:space="0"/>
              <w:left w:val="none" w:color="000000" w:sz="4" w:space="0"/>
              <w:bottom w:val="single" w:color="auto" w:sz="4" w:space="0"/>
              <w:right w:val="single" w:color="auto" w:sz="4" w:space="0"/>
            </w:tcBorders>
            <w:tcW w:w="692" w:type="dxa"/>
            <w:vAlign w:val="center"/>
            <w:vMerge w:val="restart"/>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682" w:type="dxa"/>
            <w:vAlign w:val="center"/>
            <w:vMerge w:val="restart"/>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套</w:t>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Y型过滤器，PN16法兰连接，球墨铸铁阀体，0.8mm滤网，3只</w:t>
            </w:r>
            <w:r/>
          </w:p>
        </w:tc>
        <w:tc>
          <w:tcPr>
            <w:tcBorders>
              <w:top w:val="single" w:color="auto" w:sz="4" w:space="0"/>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碟片式止回阀，PN16法兰对夹连接，不锈钢阀体， 3只</w:t>
            </w:r>
            <w:r/>
          </w:p>
        </w:tc>
        <w:tc>
          <w:tcPr>
            <w:tcBorders>
              <w:top w:val="single" w:color="auto" w:sz="4" w:space="0"/>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33"/>
        </w:trPr>
        <w:tc>
          <w:tcPr>
            <w:tcBorders>
              <w:left w:val="single" w:color="auto" w:sz="4" w:space="0"/>
              <w:bottom w:val="single" w:color="auto" w:sz="4" w:space="0"/>
              <w:right w:val="single" w:color="auto" w:sz="4" w:space="0"/>
            </w:tcBorders>
            <w:tcW w:w="1270" w:type="dxa"/>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307"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DN20 波纹管密封截止阀，PN16法兰连接，球墨铸铁阀体，9只</w:t>
            </w:r>
            <w:r/>
          </w:p>
        </w:tc>
        <w:tc>
          <w:tcPr>
            <w:tcBorders>
              <w:top w:val="single" w:color="auto" w:sz="4" w:space="0"/>
              <w:left w:val="none" w:color="000000" w:sz="4" w:space="0"/>
              <w:bottom w:val="single" w:color="auto" w:sz="4" w:space="0"/>
              <w:right w:val="single" w:color="auto" w:sz="4" w:space="0"/>
            </w:tcBorders>
            <w:tcW w:w="692" w:type="dxa"/>
            <w:vAlign w:val="center"/>
            <w:vMerge w:val="continue"/>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45"/>
        </w:trPr>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七、设备间内管道系统（含辅件）</w:t>
            </w:r>
            <w:r/>
          </w:p>
        </w:tc>
        <w:tc>
          <w:tcPr>
            <w:gridSpan w:val="2"/>
            <w:tcBorders>
              <w:top w:val="single" w:color="auto" w:sz="4" w:space="0"/>
              <w:left w:val="none" w:color="000000" w:sz="4" w:space="0"/>
              <w:bottom w:val="single" w:color="auto" w:sz="4" w:space="0"/>
              <w:right w:val="single" w:color="auto" w:sz="4" w:space="0"/>
            </w:tcBorders>
            <w:tcW w:w="6994" w:type="dxa"/>
            <w:vAlign w:val="center"/>
            <w:textDirection w:val="lrTb"/>
            <w:noWrap/>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1、无缝钢管 GB8163、DN150 材质20#，24米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2、无缝钢管 GB8163、DN100 材质20#，20米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2、无缝钢管 GB8163、DN80 材质20#，29米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3、无缝钢管 GB8163、DN65 材质20#，10米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4、无缝钢管 GB8163、DN50 材质20#，10米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5、无缝钢管 GB8163、DN40 材质20#，30米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6、无缝钢管 GB8163、DN32 材质20#，24米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7、无缝钢管 GB8163、DN25 材质20#，11米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8、无缝钢管 GB8163、DN20 材质20#，17米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9、无缝不锈钢钢管 GB14976、DN150  材质304，18米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10、无缝不锈钢钢管 GB14976、DN125  材质304，22米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11、无缝不锈钢钢管 GB14976、DN80  材质304，4米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12、无缝不锈钢钢管 GB14976、DN50  材质304，4米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13、无缝不锈钢钢管 GB14976、DN50  材质316L，12米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14、无缝不锈钢钢管 GB14976、DN32  材质316L，8米</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15、不锈钢丝接管道DN15，压缩空气用，20米</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套</w:t>
            </w:r>
            <w:r/>
          </w:p>
        </w:tc>
        <w:tc>
          <w:tcPr>
            <w:tcBorders>
              <w:top w:val="single" w:color="auto" w:sz="4" w:space="0"/>
              <w:left w:val="none" w:color="000000" w:sz="4" w:space="0"/>
              <w:bottom w:val="single" w:color="auto" w:sz="4" w:space="0"/>
              <w:right w:val="single" w:color="auto" w:sz="4" w:space="0"/>
            </w:tcBorders>
            <w:tcW w:w="682"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r>
        <w:trPr>
          <w:jc w:val="center"/>
          <w:trHeight w:val="945"/>
        </w:trPr>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八、洁净蒸汽发生器的移位安装</w:t>
            </w:r>
            <w:r/>
          </w:p>
        </w:tc>
        <w:tc>
          <w:tcPr>
            <w:gridSpan w:val="2"/>
            <w:tcBorders>
              <w:top w:val="single" w:color="auto" w:sz="4" w:space="0"/>
              <w:left w:val="none" w:color="000000" w:sz="4" w:space="0"/>
              <w:bottom w:val="single" w:color="auto" w:sz="4" w:space="0"/>
              <w:right w:val="single" w:color="auto" w:sz="4" w:space="0"/>
            </w:tcBorders>
            <w:tcW w:w="6994" w:type="dxa"/>
            <w:vAlign w:val="center"/>
            <w:textDirection w:val="lrTb"/>
            <w:noWrap/>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1、原有厨房洁净蒸汽发生器的拆除、转运</w:t>
            </w:r>
            <w:r/>
          </w:p>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2、拆除的洁净蒸汽发生器的现场安装</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w:t>
            </w:r>
            <w:r/>
          </w:p>
        </w:tc>
        <w:tc>
          <w:tcPr>
            <w:tcBorders>
              <w:top w:val="single" w:color="auto" w:sz="4" w:space="0"/>
              <w:left w:val="none" w:color="000000" w:sz="4" w:space="0"/>
              <w:bottom w:val="single" w:color="auto" w:sz="4" w:space="0"/>
              <w:right w:val="single" w:color="auto" w:sz="4" w:space="0"/>
            </w:tcBorders>
            <w:tcW w:w="682" w:type="dxa"/>
            <w:vAlign w:val="center"/>
            <w:textDirection w:val="lrTb"/>
            <w:noWrap w:val="false"/>
          </w:tcPr>
          <w:p>
            <w:pPr>
              <w:jc w:val="center"/>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r>
        <w:trPr>
          <w:jc w:val="center"/>
          <w:trHeight w:val="945"/>
        </w:trPr>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九、压力容器、压力管道安装报检</w:t>
            </w:r>
            <w:r/>
          </w:p>
        </w:tc>
        <w:tc>
          <w:tcPr>
            <w:gridSpan w:val="2"/>
            <w:tcBorders>
              <w:top w:val="single" w:color="auto" w:sz="4" w:space="0"/>
              <w:left w:val="none" w:color="000000" w:sz="4" w:space="0"/>
              <w:bottom w:val="single" w:color="auto" w:sz="4" w:space="0"/>
              <w:right w:val="single" w:color="auto" w:sz="4" w:space="0"/>
            </w:tcBorders>
            <w:tcW w:w="6994" w:type="dxa"/>
            <w:vAlign w:val="center"/>
            <w:textDirection w:val="lrTb"/>
            <w:noWrap/>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配合过程监督检验、管道系统试验、压力管道对接焊缝RT5%探伤，办理使用登记证</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w:t>
            </w:r>
            <w:r/>
          </w:p>
        </w:tc>
        <w:tc>
          <w:tcPr>
            <w:tcBorders>
              <w:top w:val="single" w:color="auto" w:sz="4" w:space="0"/>
              <w:left w:val="none" w:color="000000" w:sz="4" w:space="0"/>
              <w:bottom w:val="single" w:color="auto" w:sz="4" w:space="0"/>
              <w:right w:val="single" w:color="auto" w:sz="4" w:space="0"/>
            </w:tcBorders>
            <w:tcW w:w="682"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r>
        <w:trPr>
          <w:jc w:val="center"/>
          <w:trHeight w:val="643"/>
        </w:trPr>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十、图纸</w:t>
            </w:r>
            <w:r/>
          </w:p>
        </w:tc>
        <w:tc>
          <w:tcPr>
            <w:gridSpan w:val="2"/>
            <w:tcBorders>
              <w:top w:val="single" w:color="auto" w:sz="4" w:space="0"/>
              <w:left w:val="none" w:color="000000" w:sz="4" w:space="0"/>
              <w:bottom w:val="single" w:color="auto" w:sz="4" w:space="0"/>
              <w:right w:val="single" w:color="auto" w:sz="4" w:space="0"/>
            </w:tcBorders>
            <w:tcW w:w="6994" w:type="dxa"/>
            <w:vAlign w:val="center"/>
            <w:textDirection w:val="lrTb"/>
            <w:noWrap/>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项目整套图纸</w:t>
            </w:r>
            <w:r>
              <w:rPr>
                <w:rFonts w:hint="eastAsia" w:ascii="宋体" w:hAnsi="宋体" w:eastAsia="宋体" w:cs="宋体"/>
                <w:color w:val="000000" w:themeColor="text1"/>
                <w:szCs w:val="21"/>
                <w:highlight w:val="none"/>
                <w14:textFill>
                  <w14:solidFill>
                    <w14:schemeClr w14:val="tx1"/>
                  </w14:solidFill>
                </w14:textFill>
              </w:rPr>
              <w:t xml:space="preserve">5份</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w:t>
            </w:r>
            <w:r/>
          </w:p>
        </w:tc>
        <w:tc>
          <w:tcPr>
            <w:tcBorders>
              <w:top w:val="single" w:color="auto" w:sz="4" w:space="0"/>
              <w:left w:val="none" w:color="000000" w:sz="4" w:space="0"/>
              <w:bottom w:val="single" w:color="auto" w:sz="4" w:space="0"/>
              <w:right w:val="single" w:color="auto" w:sz="4" w:space="0"/>
            </w:tcBorders>
            <w:tcW w:w="682"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r>
    </w:tbl>
    <w:p>
      <w:pPr>
        <w:spacing w:after="120" w:line="30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8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569"/>
        <w:spacing w:line="480" w:lineRule="auto"/>
        <w:rPr>
          <w:rFonts w:hint="eastAsia" w:ascii="宋体" w:hAnsi="宋体" w:cs="宋体"/>
          <w:color w:val="000000" w:themeColor="text1"/>
          <w:highlight w:val="none"/>
          <w14:textFill>
            <w14:solidFill>
              <w14:schemeClr w14:val="tx1"/>
            </w14:solidFill>
          </w14:textFill>
        </w:rPr>
      </w:pPr>
      <w:r/>
      <w:bookmarkStart w:id="257"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评委会将对确定为实质性响应采购文件要求的投标文件进行评价和比较，评标采用综合评分法。</w:t>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31"/>
        <w:tblpPr w:horzAnchor="page" w:tblpX="1574" w:vertAnchor="text" w:tblpY="406" w:leftFromText="180" w:topFromText="0" w:rightFromText="180" w:bottomFromText="0"/>
        <w:tblW w:w="51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762"/>
        <w:gridCol w:w="5764"/>
        <w:gridCol w:w="803"/>
      </w:tblGrid>
      <w:tr>
        <w:trPr>
          <w:trHeight w:val="962"/>
        </w:trPr>
        <w:tc>
          <w:tcPr>
            <w:tcW w:w="822" w:type="dxa"/>
            <w:vAlign w:val="center"/>
            <w:textDirection w:val="lrTb"/>
            <w:noWrap/>
          </w:tcPr>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1762" w:type="dxa"/>
            <w:vAlign w:val="center"/>
            <w:textDirection w:val="lrTb"/>
            <w:noWrap/>
          </w:tcPr>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评审因素</w:t>
            </w:r>
            <w:r/>
          </w:p>
        </w:tc>
        <w:tc>
          <w:tcPr>
            <w:tcW w:w="5764" w:type="dxa"/>
            <w:vAlign w:val="center"/>
            <w:textDirection w:val="lrTb"/>
            <w:noWrap/>
          </w:tcPr>
          <w:p>
            <w:pPr>
              <w:contextualSpacing/>
              <w:ind w:firstLine="420"/>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W w:w="803" w:type="dxa"/>
            <w:vAlign w:val="center"/>
            <w:textDirection w:val="lrTb"/>
            <w:noWrap/>
          </w:tcPr>
          <w:p>
            <w:pPr>
              <w:contextualSpacing/>
              <w:jc w:val="center"/>
              <w:spacing w:line="320" w:lineRule="exact"/>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1600"/>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textDirection w:val="lrTb"/>
            <w:noWrap/>
          </w:tcPr>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w:t>
            </w:r>
            <w:r/>
          </w:p>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评分</w:t>
            </w:r>
            <w:r/>
          </w:p>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(30分)</w:t>
            </w:r>
            <w:r/>
          </w:p>
        </w:tc>
        <w:tc>
          <w:tcPr>
            <w:tcW w:w="5764" w:type="dxa"/>
            <w:vAlign w:val="center"/>
            <w:textDirection w:val="lrTb"/>
            <w:noWrap/>
          </w:tcPr>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p>
        </w:tc>
        <w:tc>
          <w:tcPr>
            <w:tcW w:w="803" w:type="dxa"/>
            <w:vAlign w:val="center"/>
            <w:textDirection w:val="lrTb"/>
            <w:noWrap/>
          </w:tcPr>
          <w:p>
            <w:pPr>
              <w:contextualSpacing/>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1600"/>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vMerge w:val="restart"/>
            <w:textDirection w:val="lrTb"/>
            <w:noWrap/>
          </w:tcPr>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产品技术响应情况</w:t>
            </w:r>
            <w:r/>
          </w:p>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分)</w:t>
            </w:r>
            <w:r/>
          </w:p>
        </w:tc>
        <w:tc>
          <w:tcPr>
            <w:tcW w:w="5764"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投标产品对招标文件</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第四章采购需求中</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bCs/>
                <w:color w:val="000000" w:themeColor="text1"/>
                <w:sz w:val="21"/>
                <w:szCs w:val="21"/>
                <w:highlight w:val="none"/>
                <w14:textFill>
                  <w14:solidFill>
                    <w14:schemeClr w14:val="tx1"/>
                  </w14:solidFill>
                </w14:textFill>
              </w:rPr>
              <w:t xml:space="preserve">技术</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参数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的响应程度：全部响应即</w:t>
            </w:r>
            <w:r>
              <w:rPr>
                <w:rFonts w:hint="eastAsia" w:ascii="宋体" w:hAnsi="宋体" w:cs="宋体"/>
                <w:bCs/>
                <w:color w:val="000000" w:themeColor="text1"/>
                <w:szCs w:val="21"/>
                <w:highlight w:val="none"/>
                <w:lang w:eastAsia="zh-CN"/>
                <w14:textFill>
                  <w14:solidFill>
                    <w14:schemeClr w14:val="tx1"/>
                  </w14:solidFill>
                </w14:textFill>
              </w:rPr>
              <w:t xml:space="preserve">完全满足招标文件</w:t>
            </w:r>
            <w:r>
              <w:rPr>
                <w:rFonts w:hint="eastAsia" w:ascii="宋体" w:hAnsi="宋体" w:cs="宋体"/>
                <w:bCs/>
                <w:color w:val="000000" w:themeColor="text1"/>
                <w:szCs w:val="21"/>
                <w:highlight w:val="none"/>
                <w14:textFill>
                  <w14:solidFill>
                    <w14:schemeClr w14:val="tx1"/>
                  </w14:solidFill>
                </w14:textFill>
              </w:rPr>
              <w:t xml:space="preserve">“产品技术指标要求”的得</w:t>
            </w:r>
            <w:r>
              <w:rPr>
                <w:rFonts w:hint="eastAsia" w:ascii="宋体" w:hAnsi="宋体" w:cs="宋体"/>
                <w:bCs/>
                <w:color w:val="000000" w:themeColor="text1"/>
                <w:szCs w:val="21"/>
                <w:highlight w:val="none"/>
                <w:lang w:val="en-US" w:eastAsia="zh-CN"/>
                <w14:textFill>
                  <w14:solidFill>
                    <w14:schemeClr w14:val="tx1"/>
                  </w14:solidFill>
                </w14:textFill>
              </w:rPr>
              <w:t xml:space="preserve">35</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符号的条款为实质性要求条款，不满足废标。“▲”号指标为重要技术指标</w:t>
            </w:r>
            <w:r>
              <w:rPr>
                <w:rFonts w:hint="eastAsia" w:ascii="宋体" w:hAnsi="宋体" w:cs="宋体"/>
                <w:bCs/>
                <w:color w:val="000000" w:themeColor="text1"/>
                <w:szCs w:val="21"/>
                <w:highlight w:val="none"/>
                <w14:textFill>
                  <w14:solidFill>
                    <w14:schemeClr w14:val="tx1"/>
                  </w14:solidFill>
                </w14:textFill>
              </w:rPr>
              <w:t xml:space="preserve">，有一项负偏离项扣</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
                <w:color w:val="000000" w:themeColor="text1"/>
                <w:szCs w:val="21"/>
                <w:highlight w:val="none"/>
                <w14:textFill>
                  <w14:solidFill>
                    <w14:schemeClr w14:val="tx1"/>
                  </w14:solidFill>
                </w14:textFill>
              </w:rPr>
              <w:t xml:space="preserve">一般性技术指标打分项</w:t>
            </w:r>
            <w:r>
              <w:rPr>
                <w:rFonts w:hint="eastAsia" w:ascii="宋体" w:hAnsi="宋体" w:cs="宋体"/>
                <w:bCs/>
                <w:color w:val="000000" w:themeColor="text1"/>
                <w:szCs w:val="21"/>
                <w:highlight w:val="none"/>
                <w14:textFill>
                  <w14:solidFill>
                    <w14:schemeClr w14:val="tx1"/>
                  </w14:solidFill>
                </w14:textFill>
              </w:rPr>
              <w:t xml:space="preserve">有一负偏离项扣0.</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p>
        </w:tc>
        <w:tc>
          <w:tcPr>
            <w:tcW w:w="803" w:type="dxa"/>
            <w:vAlign w:val="center"/>
            <w:textDirection w:val="lrTb"/>
            <w:noWrap/>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35</w:t>
            </w:r>
            <w:r/>
          </w:p>
        </w:tc>
      </w:tr>
      <w:tr>
        <w:trPr>
          <w:trHeight w:val="1742"/>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vMerge w:val="continue"/>
            <w:textDirection w:val="lrTb"/>
            <w:noWrap/>
          </w:tcPr>
          <w:p>
            <w:pPr>
              <w:contextualSpacing/>
              <w:jc w:val="center"/>
              <w:spacing w:line="3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5764"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投标产品</w:t>
            </w:r>
            <w:r>
              <w:rPr>
                <w:rFonts w:hint="eastAsia" w:ascii="宋体" w:hAnsi="宋体" w:cs="宋体"/>
                <w:bCs/>
                <w:color w:val="000000" w:themeColor="text1"/>
                <w:szCs w:val="21"/>
                <w:highlight w:val="none"/>
                <w14:textFill>
                  <w14:solidFill>
                    <w14:schemeClr w14:val="tx1"/>
                  </w14:solidFill>
                </w14:textFill>
              </w:rPr>
              <w:t xml:space="preserve">具有《食品接触产品安全认证证书》（蒸箱系列），及检测结论符合</w:t>
            </w:r>
            <w:r>
              <w:rPr>
                <w:rFonts w:hint="eastAsia" w:ascii="宋体" w:hAnsi="宋体" w:cs="宋体"/>
                <w:bCs/>
                <w:color w:val="000000" w:themeColor="text1"/>
                <w:szCs w:val="21"/>
                <w:highlight w:val="none"/>
                <w:shd w:val="clear" w:color="auto"/>
                <w14:textFill>
                  <w14:solidFill>
                    <w14:schemeClr w14:val="tx1"/>
                  </w14:solidFill>
                </w14:textFill>
              </w:rPr>
              <w:t xml:space="preserve">GB4806.9-2023</w:t>
            </w:r>
            <w:r>
              <w:rPr>
                <w:rFonts w:hint="eastAsia" w:ascii="宋体" w:hAnsi="宋体" w:cs="宋体"/>
                <w:bCs/>
                <w:color w:val="000000" w:themeColor="text1"/>
                <w:szCs w:val="21"/>
                <w:highlight w:val="none"/>
                <w14:textFill>
                  <w14:solidFill>
                    <w14:schemeClr w14:val="tx1"/>
                  </w14:solidFill>
                </w14:textFill>
              </w:rPr>
              <w:t xml:space="preserve">的标准要求的检测报告，每提供一个系列产品的得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分，满分</w:t>
            </w:r>
            <w:r>
              <w:rPr>
                <w:rFonts w:hint="eastAsia" w:ascii="宋体" w:hAnsi="宋体" w:cs="宋体"/>
                <w:bCs/>
                <w:color w:val="000000" w:themeColor="text1"/>
                <w:szCs w:val="21"/>
                <w:highlight w:val="none"/>
                <w:lang w:val="en-US" w:eastAsia="zh-CN"/>
                <w14:textFill>
                  <w14:solidFill>
                    <w14:schemeClr w14:val="tx1"/>
                  </w14:solidFill>
                </w14:textFill>
              </w:rPr>
              <w:t xml:space="preserve">2</w:t>
            </w:r>
            <w:bookmarkStart w:id="342" w:name="_GoBack"/>
            <w:r/>
            <w:bookmarkEnd w:id="342"/>
            <w:r>
              <w:rPr>
                <w:rFonts w:hint="eastAsia" w:ascii="宋体" w:hAnsi="宋体" w:cs="宋体"/>
                <w:bCs/>
                <w:color w:val="000000" w:themeColor="text1"/>
                <w:szCs w:val="21"/>
                <w:highlight w:val="none"/>
                <w14:textFill>
                  <w14:solidFill>
                    <w14:schemeClr w14:val="tx1"/>
                  </w14:solidFill>
                </w14:textFill>
              </w:rPr>
              <w:t xml:space="preserve">分（提供证书复印件及检测报告复印件，否则不得分）。</w:t>
            </w:r>
            <w:r/>
          </w:p>
        </w:tc>
        <w:tc>
          <w:tcPr>
            <w:tcW w:w="803" w:type="dxa"/>
            <w:vAlign w:val="center"/>
            <w:textDirection w:val="lrTb"/>
            <w:noWrap/>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r>
      <w:tr>
        <w:trPr>
          <w:trHeight w:val="344"/>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项目实施、验收及培训方案</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分)</w:t>
            </w:r>
            <w:r/>
          </w:p>
        </w:tc>
        <w:tc>
          <w:tcPr>
            <w:tcW w:w="5764" w:type="dxa"/>
            <w:vAlign w:val="top"/>
            <w:textDirection w:val="lrTb"/>
            <w:noWrap/>
          </w:tcPr>
          <w:p>
            <w:pPr>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1、项目实施方案(</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分)：由评委根据投标人提供的实施方案（包括按期供货、安装调试、施工进度、文明施工及环境保护等措施）进行综合评定。方案针对性强、关键环节有具体优化措施、显著提升可行性与可靠性者，得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分；方案科学合理、完整可行，</w:t>
            </w:r>
            <w:r>
              <w:rPr>
                <w:rFonts w:hint="eastAsia" w:ascii="宋体" w:hAnsi="宋体" w:cs="宋体"/>
                <w:color w:val="000000" w:themeColor="text1"/>
                <w:szCs w:val="21"/>
                <w:highlight w:val="none"/>
                <w:lang w:val="en-US" w:eastAsia="zh-CN"/>
                <w14:textFill>
                  <w14:solidFill>
                    <w14:schemeClr w14:val="tx1"/>
                  </w14:solidFill>
                </w14:textFill>
              </w:rPr>
              <w:t xml:space="preserve">基本满足</w:t>
            </w:r>
            <w:r>
              <w:rPr>
                <w:rFonts w:hint="eastAsia" w:ascii="宋体" w:hAnsi="宋体" w:cs="宋体"/>
                <w:color w:val="000000" w:themeColor="text1"/>
                <w:szCs w:val="21"/>
                <w:highlight w:val="none"/>
                <w14:textFill>
                  <w14:solidFill>
                    <w14:schemeClr w14:val="tx1"/>
                  </w14:solidFill>
                </w14:textFill>
              </w:rPr>
              <w:t xml:space="preserve">招标文件要求者，得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分；方案存在重大缺失、不可行，得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未提供不得分。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2、项目培训方案(</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分)：投标人应根据招标文件要求提供培训服务，并针对本次项目提供培训方案、师资、教材等，方案</w:t>
            </w:r>
            <w:r>
              <w:rPr>
                <w:rFonts w:hint="eastAsia" w:ascii="宋体" w:hAnsi="宋体" w:cs="宋体"/>
                <w:color w:val="000000" w:themeColor="text1"/>
                <w:szCs w:val="21"/>
                <w:highlight w:val="none"/>
                <w:lang w:eastAsia="zh-CN"/>
                <w14:textFill>
                  <w14:solidFill>
                    <w14:schemeClr w14:val="tx1"/>
                  </w14:solidFill>
                </w14:textFill>
              </w:rPr>
              <w:t xml:space="preserve">完全满足招标文件</w:t>
            </w:r>
            <w:r>
              <w:rPr>
                <w:rFonts w:hint="eastAsia" w:ascii="宋体" w:hAnsi="宋体" w:cs="宋体"/>
                <w:color w:val="000000" w:themeColor="text1"/>
                <w:szCs w:val="21"/>
                <w:highlight w:val="none"/>
                <w14:textFill>
                  <w14:solidFill>
                    <w14:schemeClr w14:val="tx1"/>
                  </w14:solidFill>
                </w14:textFill>
              </w:rPr>
              <w:t xml:space="preserve">要求的</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分；方案</w:t>
            </w:r>
            <w:r>
              <w:rPr>
                <w:rFonts w:hint="eastAsia" w:ascii="宋体" w:hAnsi="宋体" w:cs="宋体"/>
                <w:color w:val="000000" w:themeColor="text1"/>
                <w:szCs w:val="21"/>
                <w:highlight w:val="none"/>
                <w:lang w:eastAsia="zh-CN"/>
                <w14:textFill>
                  <w14:solidFill>
                    <w14:schemeClr w14:val="tx1"/>
                  </w14:solidFill>
                </w14:textFill>
              </w:rPr>
              <w:t xml:space="preserve">基本</w:t>
            </w:r>
            <w:r>
              <w:rPr>
                <w:rFonts w:hint="eastAsia" w:ascii="宋体" w:hAnsi="宋体" w:cs="宋体"/>
                <w:color w:val="000000" w:themeColor="text1"/>
                <w:szCs w:val="21"/>
                <w:highlight w:val="none"/>
                <w:lang w:val="en-US" w:eastAsia="zh-CN"/>
                <w14:textFill>
                  <w14:solidFill>
                    <w14:schemeClr w14:val="tx1"/>
                  </w14:solidFill>
                </w14:textFill>
              </w:rPr>
              <w:t xml:space="preserve">满足</w:t>
            </w:r>
            <w:r>
              <w:rPr>
                <w:rFonts w:hint="eastAsia" w:ascii="宋体" w:hAnsi="宋体" w:cs="宋体"/>
                <w:color w:val="000000" w:themeColor="text1"/>
                <w:szCs w:val="21"/>
                <w:highlight w:val="none"/>
                <w:lang w:eastAsia="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分；其他或未提供的不得分。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3、项目验收方案（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 由评委根据投标人提供的验收方案进行评定。方案验收标准明确、方法科学、程序严谨，且设有强化质量控制的优化措施，能有效保障项目成果者，得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分；方案内容完整、流程清晰，基本</w:t>
            </w:r>
            <w:r>
              <w:rPr>
                <w:rFonts w:hint="eastAsia" w:ascii="宋体" w:hAnsi="宋体" w:cs="宋体"/>
                <w:color w:val="000000" w:themeColor="text1"/>
                <w:szCs w:val="21"/>
                <w:highlight w:val="none"/>
                <w:lang w:val="en-US" w:eastAsia="zh-CN"/>
                <w14:textFill>
                  <w14:solidFill>
                    <w14:schemeClr w14:val="tx1"/>
                  </w14:solidFill>
                </w14:textFill>
              </w:rPr>
              <w:t xml:space="preserve">满足</w:t>
            </w:r>
            <w:r>
              <w:rPr>
                <w:rFonts w:hint="eastAsia" w:ascii="宋体" w:hAnsi="宋体" w:cs="宋体"/>
                <w:color w:val="000000" w:themeColor="text1"/>
                <w:szCs w:val="21"/>
                <w:highlight w:val="none"/>
                <w14:textFill>
                  <w14:solidFill>
                    <w14:schemeClr w14:val="tx1"/>
                  </w14:solidFill>
                </w14:textFill>
              </w:rPr>
              <w:t xml:space="preserve">招标文件要求者，得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分；方案不完整、不可行或未提供者，得0分。</w:t>
            </w:r>
            <w:r/>
          </w:p>
        </w:tc>
        <w:tc>
          <w:tcPr>
            <w:tcW w:w="803" w:type="dxa"/>
            <w:vAlign w:val="center"/>
            <w:textDirection w:val="lrTb"/>
            <w:noWrap/>
          </w:tcPr>
          <w:p>
            <w:pPr>
              <w:jc w:val="center"/>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14</w:t>
            </w:r>
            <w:r/>
          </w:p>
        </w:tc>
      </w:tr>
      <w:tr>
        <w:trPr>
          <w:trHeight w:val="699"/>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1762" w:type="dxa"/>
            <w:vAlign w:val="center"/>
            <w:textDirection w:val="lrTb"/>
            <w:noWrap/>
          </w:tcPr>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售后服务</w:t>
            </w:r>
            <w:r/>
          </w:p>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W w:w="5764" w:type="dxa"/>
            <w:vAlign w:val="top"/>
            <w:textDirection w:val="lrTb"/>
            <w:noWrap/>
          </w:tcPr>
          <w:p>
            <w:pPr>
              <w:contextualSpacing/>
              <w:jc w:val="left"/>
              <w:spacing w:line="360" w:lineRule="auto"/>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在服务响应速度、网点覆盖密度、巡检频次与深度、故障解决效率等核心指标上均</w:t>
            </w:r>
            <w:r>
              <w:rPr>
                <w:rFonts w:hint="eastAsia"/>
                <w:color w:val="000000" w:themeColor="text1"/>
                <w:highlight w:val="none"/>
                <w:lang w:val="en-US" w:eastAsia="zh-CN"/>
                <w14:textFill>
                  <w14:solidFill>
                    <w14:schemeClr w14:val="tx1"/>
                  </w14:solidFill>
                </w14:textFill>
              </w:rPr>
              <w:t xml:space="preserve">完全满足</w:t>
            </w:r>
            <w:r>
              <w:rPr>
                <w:rFonts w:hint="eastAsia"/>
                <w:color w:val="000000" w:themeColor="text1"/>
                <w:highlight w:val="none"/>
                <w14:textFill>
                  <w14:solidFill>
                    <w14:schemeClr w14:val="tx1"/>
                  </w14:solidFill>
                </w14:textFill>
              </w:rPr>
              <w:t xml:space="preserve">招标文件要求，并具备完善、主动的服务质量保障体系者，得</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分；方案内容完整、具体，各项承诺</w:t>
            </w:r>
            <w:r>
              <w:rPr>
                <w:rFonts w:hint="eastAsia"/>
                <w:color w:val="000000" w:themeColor="text1"/>
                <w:highlight w:val="none"/>
                <w:lang w:val="en-US" w:eastAsia="zh-CN"/>
                <w14:textFill>
                  <w14:solidFill>
                    <w14:schemeClr w14:val="tx1"/>
                  </w14:solidFill>
                </w14:textFill>
              </w:rPr>
              <w:t xml:space="preserve">基本满足</w:t>
            </w:r>
            <w:r>
              <w:rPr>
                <w:rFonts w:hint="eastAsia"/>
                <w:color w:val="000000" w:themeColor="text1"/>
                <w:highlight w:val="none"/>
                <w14:textFill>
                  <w14:solidFill>
                    <w14:schemeClr w14:val="tx1"/>
                  </w14:solidFill>
                </w14:textFill>
              </w:rPr>
              <w:t xml:space="preserve">招标文件要求者，得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分；方案内容基本完整，但部分措施不够具体或本地化支持一般者，得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分；方案存在重大缺失、不可行或未提供者，得0分。</w:t>
            </w:r>
            <w:r/>
          </w:p>
        </w:tc>
        <w:tc>
          <w:tcPr>
            <w:tcW w:w="803" w:type="dxa"/>
            <w:vAlign w:val="center"/>
            <w:textDirection w:val="lrTb"/>
            <w:noWrap/>
          </w:tcPr>
          <w:p>
            <w:pPr>
              <w:contextualSpacing/>
              <w:jc w:val="center"/>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p>
        </w:tc>
      </w:tr>
      <w:tr>
        <w:trPr>
          <w:trHeight w:val="699"/>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1762" w:type="dxa"/>
            <w:vAlign w:val="center"/>
            <w:textDirection w:val="lrTb"/>
            <w:noWrap/>
          </w:tcPr>
          <w:p>
            <w:pPr>
              <w:contextualSpacing/>
              <w:jc w:val="center"/>
              <w:spacing w:line="3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w:t>
            </w:r>
            <w:r/>
          </w:p>
          <w:p>
            <w:pPr>
              <w:pStyle w:val="832"/>
              <w:rPr>
                <w:rFonts w:hint="eastAsia" w:eastAsia="宋体"/>
                <w:lang w:eastAsia="zh-CN"/>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2分</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shd w:val="clear" w:color="auto" w:fill="auto"/>
            <w:tcW w:w="5764" w:type="dxa"/>
            <w:vAlign w:val="top"/>
            <w:textDirection w:val="lrTb"/>
            <w:noWrap/>
          </w:tcPr>
          <w:p>
            <w:pPr>
              <w:contextualSpacing/>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投标人在</w:t>
            </w:r>
            <w:r>
              <w:rPr>
                <w:rFonts w:hint="eastAsia" w:ascii="宋体" w:hAnsi="宋体" w:cs="宋体"/>
                <w:color w:val="000000" w:themeColor="text1"/>
                <w:szCs w:val="21"/>
                <w:highlight w:val="none"/>
                <w:lang w:eastAsia="zh-CN"/>
                <w14:textFill>
                  <w14:solidFill>
                    <w14:schemeClr w14:val="tx1"/>
                  </w14:solidFill>
                </w14:textFill>
              </w:rPr>
              <w:t xml:space="preserve">完全满足招标文件</w:t>
            </w:r>
            <w:r>
              <w:rPr>
                <w:rFonts w:hint="eastAsia" w:ascii="宋体" w:hAnsi="宋体" w:cs="宋体"/>
                <w:color w:val="000000" w:themeColor="text1"/>
                <w:szCs w:val="21"/>
                <w:highlight w:val="none"/>
                <w14:textFill>
                  <w14:solidFill>
                    <w14:schemeClr w14:val="tx1"/>
                  </w14:solidFill>
                </w14:textFill>
              </w:rPr>
              <w:t xml:space="preserve">规定的免费质保期基础上，每增加一年免费质保期的加1分，最多加2分，</w:t>
            </w:r>
            <w:r>
              <w:rPr>
                <w:rFonts w:hint="eastAsia" w:ascii="宋体" w:hAnsi="宋体" w:cs="宋体"/>
                <w:color w:val="000000" w:themeColor="text1"/>
                <w:szCs w:val="21"/>
                <w:highlight w:val="none"/>
                <w:lang w:val="en-US" w:eastAsia="zh-CN"/>
                <w14:textFill>
                  <w14:solidFill>
                    <w14:schemeClr w14:val="tx1"/>
                  </w14:solidFill>
                </w14:textFill>
              </w:rPr>
              <w:t xml:space="preserve">即质保四年得1分，质保五年及以上得2分，</w:t>
            </w:r>
            <w:r>
              <w:rPr>
                <w:rFonts w:hint="eastAsia" w:ascii="宋体" w:hAnsi="宋体" w:cs="宋体"/>
                <w:color w:val="000000" w:themeColor="text1"/>
                <w:szCs w:val="21"/>
                <w:highlight w:val="none"/>
                <w14:textFill>
                  <w14:solidFill>
                    <w14:schemeClr w14:val="tx1"/>
                  </w14:solidFill>
                </w14:textFill>
              </w:rPr>
              <w:t xml:space="preserve">其他或未提供的不得分。</w:t>
            </w:r>
            <w:r/>
          </w:p>
        </w:tc>
        <w:tc>
          <w:tcPr>
            <w:tcW w:w="803" w:type="dxa"/>
            <w:vAlign w:val="center"/>
            <w:textDirection w:val="lrTb"/>
            <w:noWrap/>
          </w:tcPr>
          <w:p>
            <w:pPr>
              <w:contextualSpacing/>
              <w:jc w:val="center"/>
              <w:spacing w:line="360" w:lineRule="auto"/>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p>
        </w:tc>
      </w:tr>
      <w:tr>
        <w:trPr>
          <w:trHeight w:val="219"/>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textDirection w:val="lrTb"/>
            <w:noWrap/>
          </w:tcPr>
          <w:p>
            <w:pPr>
              <w:pStyle w:val="841"/>
              <w:ind w:left="0"/>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产品业绩</w:t>
            </w:r>
            <w:r/>
          </w:p>
          <w:p>
            <w:pPr>
              <w:pStyle w:val="841"/>
              <w:ind w:left="0"/>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tc>
        <w:tc>
          <w:tcPr>
            <w:tcW w:w="5764" w:type="dxa"/>
            <w:vAlign w:val="center"/>
            <w:textDirection w:val="lrTb"/>
            <w:noWrap/>
          </w:tcPr>
          <w:p>
            <w:pPr>
              <w:contextualSpacing/>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所投产品制造商</w:t>
            </w:r>
            <w:r>
              <w:rPr>
                <w:rFonts w:hint="eastAsia" w:ascii="宋体" w:hAnsi="宋体" w:cs="宋体"/>
                <w:bCs/>
                <w:color w:val="000000" w:themeColor="text1"/>
                <w:szCs w:val="21"/>
                <w:highlight w:val="none"/>
                <w14:textFill>
                  <w14:solidFill>
                    <w14:schemeClr w14:val="tx1"/>
                  </w14:solidFill>
                </w14:textFill>
              </w:rPr>
              <w:t xml:space="preserve">自</w:t>
            </w:r>
            <w:r>
              <w:rPr>
                <w:rFonts w:hint="eastAsia" w:ascii="宋体" w:hAnsi="宋体" w:cs="宋体"/>
                <w:bCs/>
                <w:color w:val="000000" w:themeColor="text1"/>
                <w:szCs w:val="21"/>
                <w:highlight w:val="none"/>
                <w:lang w:eastAsia="zh-CN"/>
                <w14:textFill>
                  <w14:solidFill>
                    <w14:schemeClr w14:val="tx1"/>
                  </w14:solidFill>
                </w14:textFill>
              </w:rPr>
              <w:t xml:space="preserve">2022年11月1日以来</w:t>
            </w:r>
            <w:r>
              <w:rPr>
                <w:rFonts w:hint="eastAsia" w:ascii="宋体" w:hAnsi="宋体" w:cs="宋体"/>
                <w:bCs/>
                <w:color w:val="000000" w:themeColor="text1"/>
                <w:szCs w:val="21"/>
                <w:highlight w:val="none"/>
                <w14:textFill>
                  <w14:solidFill>
                    <w14:schemeClr w14:val="tx1"/>
                  </w14:solidFill>
                </w14:textFill>
              </w:rPr>
              <w:t xml:space="preserve">（以合同签约时间为准），与本</w:t>
            </w:r>
            <w:r>
              <w:rPr>
                <w:rFonts w:hint="eastAsia" w:ascii="宋体" w:hAnsi="宋体" w:cs="宋体"/>
                <w:bCs/>
                <w:color w:val="000000" w:themeColor="text1"/>
                <w:szCs w:val="21"/>
                <w:highlight w:val="none"/>
                <w:lang w:val="en-US" w:eastAsia="zh-CN"/>
                <w14:textFill>
                  <w14:solidFill>
                    <w14:schemeClr w14:val="tx1"/>
                  </w14:solidFill>
                </w14:textFill>
              </w:rPr>
              <w:t xml:space="preserve">项目</w:t>
            </w:r>
            <w:r>
              <w:rPr>
                <w:rFonts w:hint="eastAsia" w:ascii="宋体" w:hAnsi="宋体" w:cs="宋体"/>
                <w:bCs/>
                <w:color w:val="000000" w:themeColor="text1"/>
                <w:szCs w:val="21"/>
                <w:highlight w:val="none"/>
                <w14:textFill>
                  <w14:solidFill>
                    <w14:schemeClr w14:val="tx1"/>
                  </w14:solidFill>
                </w14:textFill>
              </w:rPr>
              <w:t xml:space="preserve">类似</w:t>
            </w:r>
            <w:r>
              <w:rPr>
                <w:rFonts w:hint="eastAsia" w:ascii="宋体" w:hAnsi="宋体" w:cs="宋体"/>
                <w:color w:val="000000" w:themeColor="text1"/>
                <w:sz w:val="22"/>
                <w:szCs w:val="22"/>
                <w:highlight w:val="none"/>
                <w:lang w:eastAsia="zh-CN"/>
                <w14:textFill>
                  <w14:solidFill>
                    <w14:schemeClr w14:val="tx1"/>
                  </w14:solidFill>
                </w14:textFill>
              </w:rPr>
              <w:t xml:space="preserve">蒸汽发生器及配套设施</w:t>
            </w:r>
            <w:r>
              <w:rPr>
                <w:rFonts w:hint="eastAsia" w:ascii="宋体" w:hAnsi="宋体" w:eastAsia="宋体" w:cs="宋体"/>
                <w:color w:val="000000" w:themeColor="text1"/>
                <w:sz w:val="21"/>
                <w:szCs w:val="21"/>
                <w:highlight w:val="none"/>
                <w14:textFill>
                  <w14:solidFill>
                    <w14:schemeClr w14:val="tx1"/>
                  </w14:solidFill>
                </w14:textFill>
              </w:rPr>
              <w:t xml:space="preserve">采购合同案例</w:t>
            </w:r>
            <w:r>
              <w:rPr>
                <w:rFonts w:hint="eastAsia" w:ascii="宋体" w:hAnsi="宋体" w:cs="宋体"/>
                <w:bCs/>
                <w:color w:val="000000" w:themeColor="text1"/>
                <w:szCs w:val="21"/>
                <w:highlight w:val="none"/>
                <w14:textFill>
                  <w14:solidFill>
                    <w14:schemeClr w14:val="tx1"/>
                  </w14:solidFill>
                </w14:textFill>
              </w:rPr>
              <w:t xml:space="preserve">业绩，每提供1个得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分，满分</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分（投标文件需提供中标通知书、合同复印件，否则不得分）。</w:t>
            </w:r>
            <w:r/>
          </w:p>
        </w:tc>
        <w:tc>
          <w:tcPr>
            <w:tcW w:w="803" w:type="dxa"/>
            <w:vAlign w:val="center"/>
            <w:textDirection w:val="lrTb"/>
            <w:noWrap/>
          </w:tcPr>
          <w:p>
            <w:pPr>
              <w:contextualSpacing/>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6</w:t>
            </w:r>
            <w:r/>
          </w:p>
        </w:tc>
      </w:tr>
      <w:tr>
        <w:trPr>
          <w:trHeight w:val="1259"/>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textDirection w:val="lrTb"/>
            <w:noWrap/>
          </w:tcPr>
          <w:p>
            <w:pPr>
              <w:pStyle w:val="841"/>
              <w:ind w:left="0"/>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节能环保</w:t>
            </w:r>
            <w:r/>
          </w:p>
          <w:p>
            <w:pPr>
              <w:pStyle w:val="841"/>
              <w:ind w:left="0"/>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（1分）</w:t>
            </w:r>
            <w:r/>
          </w:p>
        </w:tc>
        <w:tc>
          <w:tcPr>
            <w:tcW w:w="5764" w:type="dxa"/>
            <w:vAlign w:val="center"/>
            <w:textDirection w:val="lrTb"/>
            <w:noWrap/>
          </w:tcPr>
          <w:p>
            <w:pPr>
              <w:contextualSpacing/>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p>
            <w:pPr>
              <w:contextualSpacing/>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p>
        </w:tc>
        <w:tc>
          <w:tcPr>
            <w:tcW w:w="803" w:type="dxa"/>
            <w:vAlign w:val="center"/>
            <w:textDirection w:val="lrTb"/>
            <w:noWrap/>
          </w:tcPr>
          <w:p>
            <w:pPr>
              <w:contextualSpacing/>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r>
      <w:tr>
        <w:trPr>
          <w:trHeight w:val="657"/>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62" w:type="dxa"/>
            <w:vAlign w:val="center"/>
            <w:textDirection w:val="lrTb"/>
            <w:noWrap/>
          </w:tcPr>
          <w:p>
            <w:pPr>
              <w:jc w:val="center"/>
              <w:spacing w:before="68" w:line="288"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应急及安全</w:t>
            </w:r>
            <w:r/>
          </w:p>
          <w:p>
            <w:pPr>
              <w:jc w:val="center"/>
              <w:spacing w:before="68" w:line="288"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（2分）</w:t>
            </w:r>
            <w:r/>
          </w:p>
        </w:tc>
        <w:tc>
          <w:tcPr>
            <w:tcW w:w="5764" w:type="dxa"/>
            <w:vAlign w:val="center"/>
            <w:textDirection w:val="lrTb"/>
            <w:noWrap/>
          </w:tcPr>
          <w:p>
            <w:pPr>
              <w:contextualSpacing/>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1、应急方案（1分）：投标人对施工过程中设立应急处理小组，对可能出现的突发状况有明确的应急事件的处理程序和应急解决办法，方案</w:t>
            </w:r>
            <w:r>
              <w:rPr>
                <w:rFonts w:hint="eastAsia" w:ascii="宋体" w:hAnsi="宋体" w:cs="宋体"/>
                <w:bCs/>
                <w:color w:val="000000" w:themeColor="text1"/>
                <w:szCs w:val="21"/>
                <w:highlight w:val="none"/>
                <w:lang w:eastAsia="zh-CN"/>
                <w14:textFill>
                  <w14:solidFill>
                    <w14:schemeClr w14:val="tx1"/>
                  </w14:solidFill>
                </w14:textFill>
              </w:rPr>
              <w:t xml:space="preserve">完全满足招标文件</w:t>
            </w:r>
            <w:r>
              <w:rPr>
                <w:rFonts w:hint="eastAsia" w:ascii="宋体" w:hAnsi="宋体" w:cs="宋体"/>
                <w:bCs/>
                <w:color w:val="000000" w:themeColor="text1"/>
                <w:szCs w:val="21"/>
                <w:highlight w:val="none"/>
                <w14:textFill>
                  <w14:solidFill>
                    <w14:schemeClr w14:val="tx1"/>
                  </w14:solidFill>
                </w14:textFill>
              </w:rPr>
              <w:t xml:space="preserve">要求的1分；方案</w:t>
            </w:r>
            <w:r>
              <w:rPr>
                <w:rFonts w:hint="eastAsia" w:ascii="宋体" w:hAnsi="宋体" w:cs="宋体"/>
                <w:bCs/>
                <w:color w:val="000000" w:themeColor="text1"/>
                <w:szCs w:val="21"/>
                <w:highlight w:val="none"/>
                <w:lang w:eastAsia="zh-CN"/>
                <w14:textFill>
                  <w14:solidFill>
                    <w14:schemeClr w14:val="tx1"/>
                  </w14:solidFill>
                </w14:textFill>
              </w:rPr>
              <w:t xml:space="preserve">基本</w:t>
            </w:r>
            <w:r>
              <w:rPr>
                <w:rFonts w:hint="eastAsia" w:ascii="宋体" w:hAnsi="宋体" w:cs="宋体"/>
                <w:bCs/>
                <w:color w:val="000000" w:themeColor="text1"/>
                <w:szCs w:val="21"/>
                <w:highlight w:val="none"/>
                <w:lang w:val="en-US" w:eastAsia="zh-CN"/>
                <w14:textFill>
                  <w14:solidFill>
                    <w14:schemeClr w14:val="tx1"/>
                  </w14:solidFill>
                </w14:textFill>
              </w:rPr>
              <w:t xml:space="preserve">满足</w:t>
            </w:r>
            <w:r>
              <w:rPr>
                <w:rFonts w:hint="eastAsia" w:ascii="宋体" w:hAnsi="宋体" w:cs="宋体"/>
                <w:bCs/>
                <w:color w:val="000000" w:themeColor="text1"/>
                <w:szCs w:val="21"/>
                <w:highlight w:val="none"/>
                <w:lang w:eastAsia="zh-CN"/>
                <w14:textFill>
                  <w14:solidFill>
                    <w14:schemeClr w14:val="tx1"/>
                  </w14:solidFill>
                </w14:textFill>
              </w:rPr>
              <w:t xml:space="preserve">招标文件要求的</w:t>
            </w:r>
            <w:r>
              <w:rPr>
                <w:rFonts w:hint="eastAsia" w:ascii="宋体" w:hAnsi="宋体" w:cs="宋体"/>
                <w:bCs/>
                <w:color w:val="000000" w:themeColor="text1"/>
                <w:szCs w:val="21"/>
                <w:highlight w:val="none"/>
                <w14:textFill>
                  <w14:solidFill>
                    <w14:schemeClr w14:val="tx1"/>
                  </w14:solidFill>
                </w14:textFill>
              </w:rPr>
              <w:t xml:space="preserve">得0.5分；其他或未提供的不得分。</w:t>
            </w:r>
            <w:r/>
          </w:p>
          <w:p>
            <w:pPr>
              <w:contextualSpacing/>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2、安全保证措施（1分）：投标人对项目组人员的个人安全、施工安全、有详细明确的方案，方案</w:t>
            </w:r>
            <w:r>
              <w:rPr>
                <w:rFonts w:hint="eastAsia" w:ascii="宋体" w:hAnsi="宋体" w:cs="宋体"/>
                <w:bCs/>
                <w:color w:val="000000" w:themeColor="text1"/>
                <w:szCs w:val="21"/>
                <w:highlight w:val="none"/>
                <w:lang w:eastAsia="zh-CN"/>
                <w14:textFill>
                  <w14:solidFill>
                    <w14:schemeClr w14:val="tx1"/>
                  </w14:solidFill>
                </w14:textFill>
              </w:rPr>
              <w:t xml:space="preserve">完全满足招标文件</w:t>
            </w:r>
            <w:r>
              <w:rPr>
                <w:rFonts w:hint="eastAsia" w:ascii="宋体" w:hAnsi="宋体" w:cs="宋体"/>
                <w:bCs/>
                <w:color w:val="000000" w:themeColor="text1"/>
                <w:szCs w:val="21"/>
                <w:highlight w:val="none"/>
                <w14:textFill>
                  <w14:solidFill>
                    <w14:schemeClr w14:val="tx1"/>
                  </w14:solidFill>
                </w14:textFill>
              </w:rPr>
              <w:t xml:space="preserve">要求的1分；方案</w:t>
            </w:r>
            <w:r>
              <w:rPr>
                <w:rFonts w:hint="eastAsia" w:ascii="宋体" w:hAnsi="宋体" w:cs="宋体"/>
                <w:bCs/>
                <w:color w:val="000000" w:themeColor="text1"/>
                <w:szCs w:val="21"/>
                <w:highlight w:val="none"/>
                <w:lang w:eastAsia="zh-CN"/>
                <w14:textFill>
                  <w14:solidFill>
                    <w14:schemeClr w14:val="tx1"/>
                  </w14:solidFill>
                </w14:textFill>
              </w:rPr>
              <w:t xml:space="preserve">基本</w:t>
            </w:r>
            <w:r>
              <w:rPr>
                <w:rFonts w:hint="eastAsia" w:ascii="宋体" w:hAnsi="宋体" w:cs="宋体"/>
                <w:bCs/>
                <w:color w:val="000000" w:themeColor="text1"/>
                <w:szCs w:val="21"/>
                <w:highlight w:val="none"/>
                <w:lang w:val="en-US" w:eastAsia="zh-CN"/>
                <w14:textFill>
                  <w14:solidFill>
                    <w14:schemeClr w14:val="tx1"/>
                  </w14:solidFill>
                </w14:textFill>
              </w:rPr>
              <w:t xml:space="preserve">满足</w:t>
            </w:r>
            <w:r>
              <w:rPr>
                <w:rFonts w:hint="eastAsia" w:ascii="宋体" w:hAnsi="宋体" w:cs="宋体"/>
                <w:bCs/>
                <w:color w:val="000000" w:themeColor="text1"/>
                <w:szCs w:val="21"/>
                <w:highlight w:val="none"/>
                <w:lang w:eastAsia="zh-CN"/>
                <w14:textFill>
                  <w14:solidFill>
                    <w14:schemeClr w14:val="tx1"/>
                  </w14:solidFill>
                </w14:textFill>
              </w:rPr>
              <w:t xml:space="preserve">招标文件要求的</w:t>
            </w:r>
            <w:r>
              <w:rPr>
                <w:rFonts w:hint="eastAsia" w:ascii="宋体" w:hAnsi="宋体" w:cs="宋体"/>
                <w:bCs/>
                <w:color w:val="000000" w:themeColor="text1"/>
                <w:szCs w:val="21"/>
                <w:highlight w:val="none"/>
                <w14:textFill>
                  <w14:solidFill>
                    <w14:schemeClr w14:val="tx1"/>
                  </w14:solidFill>
                </w14:textFill>
              </w:rPr>
              <w:t xml:space="preserve">得0.5分；其他或未提供的不得分。</w:t>
            </w:r>
            <w:r/>
          </w:p>
        </w:tc>
        <w:tc>
          <w:tcPr>
            <w:tcW w:w="803" w:type="dxa"/>
            <w:vAlign w:val="center"/>
            <w:textDirection w:val="lrTb"/>
            <w:noWrap/>
          </w:tcPr>
          <w:p>
            <w:pPr>
              <w:jc w:val="center"/>
              <w:spacing w:before="68" w:line="288"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592"/>
        </w:trPr>
        <w:tc>
          <w:tcPr>
            <w:tcW w:w="822" w:type="dxa"/>
            <w:vAlign w:val="center"/>
            <w:textDirection w:val="lrTb"/>
            <w:noWrap/>
          </w:tcPr>
          <w:p>
            <w:pPr>
              <w:numPr>
                <w:ilvl w:val="0"/>
                <w:numId w:val="41"/>
              </w:numPr>
              <w:contextualSpacing/>
              <w:ind w:firstLine="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7526" w:type="dxa"/>
            <w:vAlign w:val="center"/>
            <w:textDirection w:val="lrTb"/>
            <w:noWrap/>
          </w:tcPr>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合计</w:t>
            </w:r>
            <w:r/>
          </w:p>
        </w:tc>
        <w:tc>
          <w:tcPr>
            <w:tcW w:w="803" w:type="dxa"/>
            <w:vAlign w:val="center"/>
            <w:textDirection w:val="lrTb"/>
            <w:noWrap/>
          </w:tcPr>
          <w:p>
            <w:pPr>
              <w:contextualSpacing/>
              <w:jc w:val="cente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100</w:t>
            </w:r>
            <w:r/>
          </w:p>
        </w:tc>
      </w:tr>
    </w:tbl>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58"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59" w:name="_Toc107246273"/>
      <w:r>
        <w:rPr>
          <w:rFonts w:ascii="宋体" w:hAnsi="宋体" w:cs="宋体"/>
          <w:color w:val="000000" w:themeColor="text1"/>
          <w:highlight w:val="none"/>
          <w14:textFill>
            <w14:solidFill>
              <w14:schemeClr w14:val="tx1"/>
            </w14:solidFill>
          </w14:textFill>
        </w:rPr>
        <w:br w:type="page" w:clear="all"/>
      </w:r>
      <w:r/>
    </w:p>
    <w:p>
      <w:pPr>
        <w:pStyle w:val="863"/>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58"/>
      <w:r>
        <w:rPr>
          <w:rFonts w:hint="eastAsia" w:ascii="宋体" w:hAnsi="宋体" w:cs="宋体"/>
          <w:color w:val="000000" w:themeColor="text1"/>
          <w:highlight w:val="none"/>
          <w14:textFill>
            <w14:solidFill>
              <w14:schemeClr w14:val="tx1"/>
            </w14:solidFill>
          </w14:textFill>
        </w:rPr>
        <w:t xml:space="preserve">投标文件格式</w:t>
      </w:r>
      <w:bookmarkEnd w:id="259"/>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9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60"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46"/>
        <w:ind w:firstLine="995"/>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46"/>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南京鼓楼医院新建食堂蒸汽发生器及配套设施采购项目</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6"/>
        <w:ind w:left="0" w:firstLine="420"/>
        <w:jc w:val="center"/>
        <w:rPr>
          <w:rFonts w:hint="eastAsia" w:hAnsi="宋体" w:cs="宋体"/>
          <w:b/>
          <w:color w:val="000000" w:themeColor="text1"/>
          <w:sz w:val="84"/>
          <w:szCs w:val="84"/>
          <w:highlight w:val="none"/>
          <w14:textFill>
            <w14:solidFill>
              <w14:schemeClr w14:val="tx1"/>
            </w14:solidFill>
          </w14:textFill>
        </w:rPr>
      </w:pPr>
      <w:r/>
      <w:bookmarkStart w:id="261" w:name="_Toc100905255"/>
      <w:r/>
      <w:r/>
    </w:p>
    <w:p>
      <w:pPr>
        <w:pStyle w:val="846"/>
        <w:ind w:left="0" w:firstLine="420"/>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1"/>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846"/>
        <w:ind w:firstLine="496"/>
        <w:rPr>
          <w:rFonts w:hint="eastAsia"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JSZC-320100-JITC-G2025-0415</w:t>
      </w:r>
      <w:r/>
    </w:p>
    <w:p>
      <w:pPr>
        <w:pStyle w:val="84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6"/>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46"/>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46"/>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84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en-US" w:eastAsia="zh-CN"/>
          <w14:textFill>
            <w14:solidFill>
              <w14:schemeClr w14:val="tx1"/>
            </w14:solidFill>
          </w14:textFill>
        </w:rPr>
        <w:t xml:space="preserve">所投产品情况表</w:t>
      </w:r>
      <w:r>
        <w:rPr>
          <w:rFonts w:hint="eastAsia" w:ascii="宋体" w:hAnsi="宋体" w:cs="宋体"/>
          <w:color w:val="000000" w:themeColor="text1"/>
          <w:szCs w:val="21"/>
          <w:highlight w:val="none"/>
          <w14:textFill>
            <w14:solidFill>
              <w14:schemeClr w14:val="tx1"/>
            </w14:solidFill>
          </w14:textFill>
        </w:rPr>
        <w:t xml:space="preserve">，格式见附件。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en-US" w:eastAsia="zh-CN"/>
          <w14:textFill>
            <w14:solidFill>
              <w14:schemeClr w14:val="tx1"/>
            </w14:solidFill>
          </w14:textFill>
        </w:rPr>
        <w:t xml:space="preserve">偏离表</w:t>
      </w:r>
      <w:r>
        <w:rPr>
          <w:rFonts w:hint="eastAsia" w:ascii="宋体" w:hAnsi="宋体" w:cs="宋体"/>
          <w:color w:val="000000" w:themeColor="text1"/>
          <w:szCs w:val="21"/>
          <w:highlight w:val="none"/>
          <w14:textFill>
            <w14:solidFill>
              <w14:schemeClr w14:val="tx1"/>
            </w14:solidFill>
          </w14:textFill>
        </w:rPr>
        <w:t xml:space="preserve">。</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84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用于本项目产品技术参数证明文件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84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pStyle w:val="846"/>
        <w:ind w:firstLine="372"/>
        <w:jc w:val="center"/>
        <w:spacing w:line="300" w:lineRule="exac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rPr>
          <w:rFonts w:hint="eastAsia" w:hAnsi="宋体" w:cs="宋体"/>
          <w:b/>
          <w:bCs/>
          <w:color w:val="000000" w:themeColor="text1"/>
          <w:sz w:val="28"/>
          <w:szCs w:val="28"/>
          <w:highlight w:val="none"/>
          <w14:textFill>
            <w14:solidFill>
              <w14:schemeClr w14:val="tx1"/>
            </w14:solidFill>
          </w14:textFill>
        </w:rPr>
        <w:t xml:space="preserve">评标索引</w:t>
      </w:r>
      <w:r/>
    </w:p>
    <w:p>
      <w:pPr>
        <w:ind w:firstLine="426"/>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（注：此表按照招标文件中评分办法逐项填写）</w:t>
      </w:r>
      <w:r/>
    </w:p>
    <w:p>
      <w:pPr>
        <w:pStyle w:val="84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3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firstLine="0"/>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firstLine="0"/>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bookmarkEnd w:id="260"/>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95"/>
              <w:ind w:left="420" w:firstLine="482"/>
              <w:jc w:val="center"/>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br w:type="page" w:clear="all"/>
      </w:r>
      <w:r/>
    </w:p>
    <w:p>
      <w:pPr>
        <w:pStyle w:val="863"/>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2" w:name="_Toc107246274"/>
      <w:r/>
      <w:bookmarkStart w:id="263" w:name="_Toc104560897"/>
      <w:r/>
      <w:bookmarkStart w:id="264" w:name="_Toc103848582"/>
      <w:r/>
      <w:bookmarkStart w:id="265"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2"/>
      <w:r/>
      <w:bookmarkEnd w:id="263"/>
      <w:r/>
      <w:bookmarkEnd w:id="26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63"/>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6"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5"/>
      <w:r/>
      <w:bookmarkEnd w:id="266"/>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67" w:name="_Toc103848580"/>
      <w:r/>
      <w:bookmarkStart w:id="268"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南京鼓楼医院新建食堂蒸汽发生器及配套设施采购项目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JSZC-320100-JITC-G2025-04150295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6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6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6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40"/>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3"/>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69" w:name="_Toc103848583"/>
      <w:r/>
      <w:bookmarkStart w:id="270" w:name="_Toc104560898"/>
      <w:r/>
      <w:bookmarkStart w:id="271"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69"/>
      <w:r/>
      <w:bookmarkEnd w:id="270"/>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1"/>
      <w:r/>
      <w:r/>
    </w:p>
    <w:p>
      <w:pPr>
        <w:pStyle w:val="84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4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40"/>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0"/>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0"/>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40"/>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4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40"/>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4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4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40"/>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40"/>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61"/>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2" w:name="_Toc107246277"/>
      <w:r/>
      <w:bookmarkStart w:id="273" w:name="_Toc104560899"/>
      <w:r/>
      <w:bookmarkStart w:id="274"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3-1</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14:textFill>
            <w14:solidFill>
              <w14:schemeClr w14:val="tx1"/>
            </w14:solidFill>
          </w14:textFill>
        </w:rPr>
        <w:t xml:space="preserve">法定代表人授权委托书</w:t>
      </w:r>
      <w:bookmarkEnd w:id="272"/>
      <w:r/>
      <w:bookmarkEnd w:id="273"/>
      <w:r/>
      <w:bookmarkEnd w:id="274"/>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南京鼓楼医院新建食堂蒸汽发生器及配套设施采购项目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JSZC-320100-JITC-G2025-04150295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6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6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3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4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6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6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5" w:name="_Toc107246279"/>
      <w:r/>
      <w:bookmarkStart w:id="276" w:name="_Toc104560895"/>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63"/>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77" w:name="_Toc103848585"/>
      <w:r/>
      <w:bookmarkStart w:id="278" w:name="_Toc107246278"/>
      <w:r/>
      <w:bookmarkStart w:id="279"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77"/>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南京鼓楼医院新建食堂蒸汽发生器及配套设施采购项目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JSZC-320100-JITC-G2025-04150295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6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6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1"/>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3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4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1"/>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63"/>
        <w:numPr>
          <w:ilvl w:val="0"/>
          <w:numId w:val="4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67"/>
      <w:r/>
      <w:bookmarkEnd w:id="275"/>
      <w:r/>
      <w:bookmarkEnd w:id="27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firstLine="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CA公章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left="0" w:firstLine="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南京鼓楼医院新建食堂蒸汽发生器及配套设施采购项目</w:t>
      </w:r>
      <w:r/>
    </w:p>
    <w:p>
      <w:pPr>
        <w:ind w:left="0" w:firstLine="0"/>
        <w:keepLines w:val="0"/>
        <w:keepNext w:val="0"/>
        <w:pageBreakBefore w:val="0"/>
        <w:spacing w:line="360" w:lineRule="auto"/>
        <w:widowControl w:val="off"/>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0"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JSZC-320100-JITC-G2025-0415</w:t>
      </w:r>
      <w:r>
        <w:rPr>
          <w:rFonts w:hint="eastAsia" w:ascii="宋体" w:hAnsi="宋体" w:cs="宋体"/>
          <w:color w:val="000000" w:themeColor="text1"/>
          <w:szCs w:val="21"/>
          <w:highlight w:val="none"/>
          <w:lang w:val="en-US" w:eastAsia="zh-CN"/>
          <w14:textFill>
            <w14:solidFill>
              <w14:schemeClr w14:val="tx1"/>
            </w14:solidFill>
          </w14:textFill>
        </w:rPr>
        <w:t xml:space="preserve">分包号（如有）：</w:t>
      </w:r>
      <w:r/>
    </w:p>
    <w:tbl>
      <w:tblPr>
        <w:tblStyle w:val="8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1733"/>
        </w:trPr>
        <w:tc>
          <w:tcPr>
            <w:shd w:val="clear" w:color="auto" w:fill="auto"/>
            <w:tcW w:w="1888" w:type="pct"/>
            <w:vAlign w:val="center"/>
            <w:textDirection w:val="lrTb"/>
            <w:noWrap/>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投标货物名称</w:t>
            </w:r>
            <w:r/>
          </w:p>
        </w:tc>
        <w:tc>
          <w:tcPr>
            <w:shd w:val="clear" w:color="auto" w:fill="auto"/>
            <w:tcW w:w="5496" w:type="dxa"/>
            <w:vAlign w:val="center"/>
            <w:textDirection w:val="lrTb"/>
            <w:noWrap/>
          </w:tcPr>
          <w:p>
            <w:pPr>
              <w:jc w:val="center"/>
              <w:widowControl/>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投标报价</w:t>
            </w:r>
            <w:r/>
          </w:p>
        </w:tc>
      </w:tr>
      <w:tr>
        <w:trPr>
          <w:jc w:val="center"/>
          <w:trHeight w:val="1765"/>
        </w:trPr>
        <w:tc>
          <w:tcPr>
            <w:shd w:val="clear" w:color="auto" w:fill="auto"/>
            <w:tcW w:w="1888" w:type="pct"/>
            <w:vAlign w:val="center"/>
            <w:textDirection w:val="lrTb"/>
            <w:noWrap/>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投标产品名称</w:t>
            </w:r>
            <w:r/>
          </w:p>
        </w:tc>
        <w:tc>
          <w:tcPr>
            <w:shd w:val="clear" w:color="auto" w:fill="auto"/>
            <w:tcW w:w="5496" w:type="dxa"/>
            <w:vAlign w:val="center"/>
            <w:textDirection w:val="lrTb"/>
            <w:noWrap/>
          </w:tcPr>
          <w:p>
            <w:pPr>
              <w:jc w:val="center"/>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none"/>
                <w:lang w:val="en-US" w:eastAsia="zh-CN"/>
                <w14:textFill>
                  <w14:solidFill>
                    <w14:schemeClr w14:val="tx1"/>
                  </w14:solidFill>
                </w14:textFill>
              </w:rPr>
              <w:t xml:space="preserve">元</w:t>
            </w:r>
            <w:r/>
          </w:p>
        </w:tc>
      </w:tr>
    </w:tbl>
    <w:p>
      <w:pPr>
        <w:ind w:firstLine="422"/>
        <w:spacing w:line="360" w:lineRule="auto"/>
        <w:tabs>
          <w:tab w:val="left" w:pos="6045"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注：1、</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投标报</w:t>
      </w:r>
      <w:r>
        <w:rPr>
          <w:rFonts w:hint="eastAsia" w:ascii="宋体" w:hAnsi="宋体" w:eastAsia="宋体" w:cs="宋体"/>
          <w:b/>
          <w:color w:val="000000" w:themeColor="text1"/>
          <w:sz w:val="21"/>
          <w:szCs w:val="21"/>
          <w:highlight w:val="none"/>
          <w14:textFill>
            <w14:solidFill>
              <w14:schemeClr w14:val="tx1"/>
            </w14:solidFill>
          </w14:textFill>
        </w:rPr>
        <w:t xml:space="preserve">价应包含包装、装卸、运输、保险、税费等所有费用。</w:t>
      </w:r>
      <w:r/>
    </w:p>
    <w:p>
      <w:pPr>
        <w:ind w:firstLine="372"/>
        <w:jc w:val="center"/>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bookmarkStart w:id="281" w:name="_Toc104560896"/>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Style w:val="1107"/>
          <w:rFonts w:hint="eastAsia" w:hAnsi="宋体"/>
          <w:color w:val="000000" w:themeColor="text1"/>
          <w:highlight w:val="none"/>
          <w14:textFill>
            <w14:solidFill>
              <w14:schemeClr w14:val="tx1"/>
            </w14:solidFill>
          </w14:textFill>
        </w:rPr>
      </w:pPr>
      <w:r>
        <w:rPr>
          <w:rStyle w:val="1107"/>
          <w:rFonts w:hAnsi="宋体"/>
          <w:color w:val="000000" w:themeColor="text1"/>
          <w:highlight w:val="none"/>
          <w14:textFill>
            <w14:solidFill>
              <w14:schemeClr w14:val="tx1"/>
            </w14:solidFill>
          </w14:textFill>
        </w:rPr>
        <w:br w:type="page" w:clear="all"/>
      </w:r>
      <w:r/>
    </w:p>
    <w:p>
      <w:pPr>
        <w:pStyle w:val="863"/>
        <w:numPr>
          <w:ilvl w:val="0"/>
          <w:numId w:val="42"/>
        </w:numPr>
        <w:ind w:left="0"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所投产品情况表</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供投标人使用参考格式</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641"/>
        <w:gridCol w:w="886"/>
        <w:gridCol w:w="393"/>
        <w:gridCol w:w="485"/>
        <w:gridCol w:w="865"/>
        <w:gridCol w:w="835"/>
        <w:gridCol w:w="845"/>
        <w:gridCol w:w="612"/>
        <w:gridCol w:w="655"/>
        <w:gridCol w:w="841"/>
        <w:gridCol w:w="898"/>
        <w:gridCol w:w="440"/>
      </w:tblGrid>
      <w:tr>
        <w:trPr/>
        <w:tc>
          <w:tcPr>
            <w:tcW w:w="440"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 xml:space="preserve">序号</w:t>
            </w:r>
            <w:r/>
          </w:p>
        </w:tc>
        <w:tc>
          <w:tcPr>
            <w:tcW w:w="641"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14:textFill>
                  <w14:solidFill>
                    <w14:schemeClr w14:val="tx1"/>
                  </w14:solidFill>
                </w14:textFill>
              </w:rPr>
            </w:pPr>
            <w:r>
              <w:rPr>
                <w:rFonts w:hint="eastAsia" w:ascii="宋体" w:hAnsi="宋体" w:eastAsia="宋体" w:cs="宋体"/>
                <w:b/>
                <w:bCs/>
                <w:color w:val="000000" w:themeColor="text1"/>
                <w:sz w:val="18"/>
                <w:szCs w:val="18"/>
                <w:highlight w:val="none"/>
                <w:lang w:bidi="ar"/>
                <w14:textFill>
                  <w14:solidFill>
                    <w14:schemeClr w14:val="tx1"/>
                  </w14:solidFill>
                </w14:textFill>
              </w:rPr>
              <w:t xml:space="preserve">设备名称</w:t>
            </w:r>
            <w:r/>
          </w:p>
        </w:tc>
        <w:tc>
          <w:tcPr>
            <w:tcW w:w="886"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 xml:space="preserve">所投产品产品</w:t>
            </w:r>
            <w:r>
              <w:rPr>
                <w:rFonts w:hint="eastAsia" w:ascii="宋体" w:hAnsi="宋体" w:eastAsia="宋体" w:cs="宋体"/>
                <w:b/>
                <w:bCs/>
                <w:color w:val="000000" w:themeColor="text1"/>
                <w:sz w:val="18"/>
                <w:szCs w:val="18"/>
                <w:highlight w:val="none"/>
                <w:vertAlign w:val="baseline"/>
                <w14:textFill>
                  <w14:solidFill>
                    <w14:schemeClr w14:val="tx1"/>
                  </w14:solidFill>
                </w14:textFill>
              </w:rPr>
              <w:t xml:space="preserve">尺寸及规格</w:t>
            </w:r>
            <w:r/>
          </w:p>
        </w:tc>
        <w:tc>
          <w:tcPr>
            <w:tcW w:w="393"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14:textFill>
                  <w14:solidFill>
                    <w14:schemeClr w14:val="tx1"/>
                  </w14:solidFill>
                </w14:textFill>
              </w:rPr>
            </w:pPr>
            <w:r>
              <w:rPr>
                <w:rFonts w:hint="eastAsia" w:ascii="宋体" w:hAnsi="宋体" w:eastAsia="宋体" w:cs="宋体"/>
                <w:b/>
                <w:bCs/>
                <w:color w:val="000000" w:themeColor="text1"/>
                <w:sz w:val="18"/>
                <w:szCs w:val="18"/>
                <w:highlight w:val="none"/>
                <w:lang w:bidi="ar"/>
                <w14:textFill>
                  <w14:solidFill>
                    <w14:schemeClr w14:val="tx1"/>
                  </w14:solidFill>
                </w14:textFill>
              </w:rPr>
              <w:t xml:space="preserve">数量</w:t>
            </w:r>
            <w:r/>
          </w:p>
        </w:tc>
        <w:tc>
          <w:tcPr>
            <w:tcW w:w="485" w:type="dxa"/>
            <w:vAlign w:val="center"/>
            <w:textDirection w:val="lrTb"/>
            <w:noWrap w:val="false"/>
          </w:tcPr>
          <w:p>
            <w:pPr>
              <w:jc w:val="cente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单位</w:t>
            </w:r>
            <w:r/>
          </w:p>
        </w:tc>
        <w:tc>
          <w:tcPr>
            <w:tcW w:w="865"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14:textFill>
                  <w14:solidFill>
                    <w14:schemeClr w14:val="tx1"/>
                  </w14:solidFill>
                </w14:textFill>
              </w:rPr>
            </w:pPr>
            <w:r>
              <w:rPr>
                <w:rFonts w:hint="eastAsia" w:ascii="宋体" w:hAnsi="宋体" w:eastAsia="宋体" w:cs="宋体"/>
                <w:b/>
                <w:bCs/>
                <w:color w:val="000000" w:themeColor="text1"/>
                <w:sz w:val="18"/>
                <w:szCs w:val="18"/>
                <w:highlight w:val="none"/>
                <w:lang w:bidi="ar"/>
                <w14:textFill>
                  <w14:solidFill>
                    <w14:schemeClr w14:val="tx1"/>
                  </w14:solidFill>
                </w14:textFill>
              </w:rPr>
              <w:t xml:space="preserve">最高限价</w:t>
            </w:r>
            <w:r>
              <w:rPr>
                <w:rFonts w:hint="eastAsia" w:ascii="宋体" w:hAnsi="宋体" w:eastAsia="宋体" w:cs="宋体"/>
                <w:b/>
                <w:bCs/>
                <w:color w:val="000000" w:themeColor="text1"/>
                <w:sz w:val="18"/>
                <w:szCs w:val="18"/>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元</w:t>
            </w:r>
            <w:r>
              <w:rPr>
                <w:rFonts w:hint="eastAsia" w:ascii="宋体" w:hAnsi="宋体" w:eastAsia="宋体" w:cs="宋体"/>
                <w:b/>
                <w:bCs/>
                <w:color w:val="000000" w:themeColor="text1"/>
                <w:sz w:val="18"/>
                <w:szCs w:val="18"/>
                <w:highlight w:val="none"/>
                <w:lang w:eastAsia="zh-CN" w:bidi="ar"/>
                <w14:textFill>
                  <w14:solidFill>
                    <w14:schemeClr w14:val="tx1"/>
                  </w14:solidFill>
                </w14:textFill>
              </w:rPr>
              <w:t xml:space="preserve">）</w:t>
            </w:r>
            <w:r/>
          </w:p>
        </w:tc>
        <w:tc>
          <w:tcPr>
            <w:tcW w:w="835" w:type="dxa"/>
            <w:vAlign w:val="center"/>
            <w:textDirection w:val="lrTb"/>
            <w:noWrap w:val="false"/>
          </w:tcPr>
          <w:p>
            <w:pPr>
              <w:jc w:val="center"/>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投标单价（元）</w:t>
            </w:r>
            <w:r/>
          </w:p>
        </w:tc>
        <w:tc>
          <w:tcPr>
            <w:tcW w:w="845" w:type="dxa"/>
            <w:vAlign w:val="center"/>
            <w:textDirection w:val="lrTb"/>
            <w:noWrap w:val="false"/>
          </w:tcPr>
          <w:p>
            <w:pPr>
              <w:jc w:val="center"/>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小计（元）</w:t>
            </w:r>
            <w:r/>
          </w:p>
        </w:tc>
        <w:tc>
          <w:tcPr>
            <w:tcW w:w="612" w:type="dxa"/>
            <w:vAlign w:val="center"/>
            <w:textDirection w:val="lrTb"/>
            <w:noWrap w:val="false"/>
          </w:tcPr>
          <w:p>
            <w:pPr>
              <w:jc w:val="center"/>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所投产品品牌</w:t>
            </w:r>
            <w:r/>
          </w:p>
        </w:tc>
        <w:tc>
          <w:tcPr>
            <w:tcW w:w="655" w:type="dxa"/>
            <w:vAlign w:val="center"/>
            <w:textDirection w:val="lrTb"/>
            <w:noWrap w:val="false"/>
          </w:tcPr>
          <w:p>
            <w:pPr>
              <w:jc w:val="center"/>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bidi="ar"/>
                <w14:textFill>
                  <w14:solidFill>
                    <w14:schemeClr w14:val="tx1"/>
                  </w14:solidFill>
                </w14:textFill>
              </w:rPr>
              <w:t xml:space="preserve">所投产品制造厂</w:t>
            </w:r>
            <w:r/>
          </w:p>
        </w:tc>
        <w:tc>
          <w:tcPr>
            <w:tcW w:w="841" w:type="dxa"/>
            <w:vAlign w:val="center"/>
            <w:textDirection w:val="lrTb"/>
            <w:noWrap w:val="false"/>
          </w:tcPr>
          <w:p>
            <w:pPr>
              <w:pStyle w:val="1090"/>
              <w:ind w:left="96"/>
              <w:jc w:val="center"/>
              <w:spacing w:before="57"/>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b/>
                <w:color w:val="000000" w:themeColor="text1"/>
                <w:spacing w:val="-2"/>
                <w:sz w:val="19"/>
                <w:highlight w:val="none"/>
                <w14:textFill>
                  <w14:solidFill>
                    <w14:schemeClr w14:val="tx1"/>
                  </w14:solidFill>
                </w14:textFill>
              </w:rPr>
              <w:t xml:space="preserve">是否属于节</w:t>
            </w:r>
            <w:r>
              <w:rPr>
                <w:b/>
                <w:color w:val="000000" w:themeColor="text1"/>
                <w:spacing w:val="-4"/>
                <w:sz w:val="19"/>
                <w:highlight w:val="none"/>
                <w14:textFill>
                  <w14:solidFill>
                    <w14:schemeClr w14:val="tx1"/>
                  </w14:solidFill>
                </w14:textFill>
              </w:rPr>
              <w:t xml:space="preserve">能产品</w:t>
            </w:r>
            <w:r/>
          </w:p>
        </w:tc>
        <w:tc>
          <w:tcPr>
            <w:tcW w:w="898" w:type="dxa"/>
            <w:vAlign w:val="center"/>
            <w:textDirection w:val="lrTb"/>
            <w:noWrap w:val="false"/>
          </w:tcPr>
          <w:p>
            <w:pPr>
              <w:pStyle w:val="1090"/>
              <w:ind w:left="97"/>
              <w:jc w:val="center"/>
              <w:spacing w:before="57"/>
              <w:rPr>
                <w:rFonts w:hint="default" w:ascii="宋体" w:hAnsi="宋体" w:eastAsia="宋体" w:cs="宋体"/>
                <w:b/>
                <w:bCs/>
                <w:color w:val="000000" w:themeColor="text1"/>
                <w:sz w:val="18"/>
                <w:szCs w:val="18"/>
                <w:highlight w:val="none"/>
                <w:lang w:val="en-US" w:eastAsia="zh-CN" w:bidi="ar"/>
                <w14:textFill>
                  <w14:solidFill>
                    <w14:schemeClr w14:val="tx1"/>
                  </w14:solidFill>
                </w14:textFill>
              </w:rPr>
            </w:pPr>
            <w:r>
              <w:rPr>
                <w:b/>
                <w:color w:val="000000" w:themeColor="text1"/>
                <w:spacing w:val="-2"/>
                <w:sz w:val="19"/>
                <w:highlight w:val="none"/>
                <w14:textFill>
                  <w14:solidFill>
                    <w14:schemeClr w14:val="tx1"/>
                  </w14:solidFill>
                </w14:textFill>
              </w:rPr>
              <w:t xml:space="preserve">是否属于环境</w:t>
            </w:r>
            <w:r>
              <w:rPr>
                <w:b/>
                <w:color w:val="000000" w:themeColor="text1"/>
                <w:spacing w:val="-3"/>
                <w:sz w:val="19"/>
                <w:highlight w:val="none"/>
                <w14:textFill>
                  <w14:solidFill>
                    <w14:schemeClr w14:val="tx1"/>
                  </w14:solidFill>
                </w14:textFill>
              </w:rPr>
              <w:t xml:space="preserve">标志产品</w:t>
            </w:r>
            <w:r/>
          </w:p>
        </w:tc>
        <w:tc>
          <w:tcPr>
            <w:tcW w:w="440" w:type="dxa"/>
            <w:vAlign w:val="center"/>
            <w:textDirection w:val="lrTb"/>
            <w:noWrap w:val="false"/>
          </w:tcPr>
          <w:p>
            <w:pPr>
              <w:jc w:val="center"/>
              <w:rPr>
                <w:rFonts w:hint="eastAsia" w:ascii="宋体" w:hAnsi="宋体" w:eastAsia="宋体" w:cs="宋体"/>
                <w:b/>
                <w:bCs/>
                <w:color w:val="000000" w:themeColor="text1"/>
                <w:sz w:val="18"/>
                <w:szCs w:val="18"/>
                <w:highlight w:val="none"/>
                <w:vertAlign w:val="baseline"/>
                <w14:textFill>
                  <w14:solidFill>
                    <w14:schemeClr w14:val="tx1"/>
                  </w14:solidFill>
                </w14:textFill>
              </w:rPr>
            </w:pPr>
            <w:r>
              <w:rPr>
                <w:rFonts w:hint="eastAsia" w:ascii="宋体" w:hAnsi="宋体" w:eastAsia="宋体" w:cs="宋体"/>
                <w:b/>
                <w:bCs/>
                <w:color w:val="000000" w:themeColor="text1"/>
                <w:sz w:val="18"/>
                <w:szCs w:val="18"/>
                <w:highlight w:val="none"/>
                <w:vertAlign w:val="baseline"/>
                <w14:textFill>
                  <w14:solidFill>
                    <w14:schemeClr w14:val="tx1"/>
                  </w14:solidFill>
                </w14:textFill>
              </w:rPr>
              <w:t xml:space="preserve">备注</w:t>
            </w:r>
            <w:r/>
          </w:p>
        </w:tc>
      </w:tr>
      <w:tr>
        <w:trPr/>
        <w:tc>
          <w:tcPr>
            <w:tcW w:w="440" w:type="dxa"/>
            <w:vAlign w:val="center"/>
            <w:textDirection w:val="lrTb"/>
            <w:noWrap w:val="false"/>
          </w:tcPr>
          <w:p>
            <w:pPr>
              <w:numPr>
                <w:ilvl w:val="0"/>
                <w:numId w:val="43"/>
              </w:numPr>
              <w:ind w:left="425" w:hanging="425"/>
              <w:jc w:val="cente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86"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393"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8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6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3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12"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5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98"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40"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r>
      <w:tr>
        <w:trPr/>
        <w:tc>
          <w:tcPr>
            <w:tcW w:w="440" w:type="dxa"/>
            <w:vAlign w:val="center"/>
            <w:textDirection w:val="lrTb"/>
            <w:noWrap w:val="false"/>
          </w:tcPr>
          <w:p>
            <w:pPr>
              <w:numPr>
                <w:ilvl w:val="0"/>
                <w:numId w:val="43"/>
              </w:numPr>
              <w:ind w:left="425" w:hanging="425"/>
              <w:jc w:val="cente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86"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393"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8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6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3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12"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5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98"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40"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r>
      <w:tr>
        <w:trPr/>
        <w:tc>
          <w:tcPr>
            <w:tcW w:w="440" w:type="dxa"/>
            <w:vAlign w:val="center"/>
            <w:textDirection w:val="lrTb"/>
            <w:noWrap w:val="false"/>
          </w:tcPr>
          <w:p>
            <w:pPr>
              <w:numPr>
                <w:ilvl w:val="0"/>
                <w:numId w:val="43"/>
              </w:numPr>
              <w:ind w:left="425" w:hanging="425"/>
              <w:jc w:val="cente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86"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393"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8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6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3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12"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5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98"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40"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r>
      <w:tr>
        <w:trPr/>
        <w:tc>
          <w:tcPr>
            <w:tcW w:w="440" w:type="dxa"/>
            <w:vAlign w:val="center"/>
            <w:textDirection w:val="lrTb"/>
            <w:noWrap w:val="false"/>
          </w:tcPr>
          <w:p>
            <w:pPr>
              <w:numPr>
                <w:ilvl w:val="0"/>
                <w:numId w:val="43"/>
              </w:numPr>
              <w:ind w:left="425" w:hanging="425"/>
              <w:jc w:val="cente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86"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393"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8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6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3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12"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655"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41"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898"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tcW w:w="440"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r>
      <w:tr>
        <w:trPr/>
        <w:tc>
          <w:tcPr>
            <w:tcW w:w="440" w:type="dxa"/>
            <w:vAlign w:val="center"/>
            <w:textDirection w:val="lrTb"/>
            <w:noWrap w:val="false"/>
          </w:tcPr>
          <w:p>
            <w:pPr>
              <w:numPr>
                <w:ilvl w:val="0"/>
                <w:numId w:val="43"/>
              </w:numPr>
              <w:ind w:left="425" w:hanging="425"/>
              <w:jc w:val="cente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c>
          <w:tcPr>
            <w:gridSpan w:val="10"/>
            <w:tcW w:w="7058" w:type="dxa"/>
            <w:textDirection w:val="lrTb"/>
            <w:noWrap w:val="false"/>
          </w:tcPr>
          <w:p>
            <w:pPr>
              <w:rPr>
                <w:rFonts w:hint="default"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 xml:space="preserve">合计：  大写       ;小写           </w:t>
            </w:r>
            <w:r/>
          </w:p>
        </w:tc>
        <w:tc>
          <w:tcPr>
            <w:tcW w:w="898" w:type="dxa"/>
            <w:textDirection w:val="lrTb"/>
            <w:noWrap w:val="false"/>
          </w:tcPr>
          <w:p>
            <w:pP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r>
            <w:r/>
          </w:p>
        </w:tc>
        <w:tc>
          <w:tcPr>
            <w:tcW w:w="440" w:type="dxa"/>
            <w:textDirection w:val="lrTb"/>
            <w:noWrap w:val="false"/>
          </w:tcPr>
          <w:p>
            <w:pPr>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r>
            <w:r/>
          </w:p>
        </w:tc>
      </w:tr>
    </w:tbl>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eastAsiaTheme="minor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注：请务必按照此表格按照汇总清单进行报价。</w:t>
      </w:r>
      <w:r/>
    </w:p>
    <w:p>
      <w:pPr>
        <w:numPr>
          <w:ilvl w:val="0"/>
          <w:numId w:val="0"/>
        </w:numPr>
        <w:ind w:left="4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spacing w:line="360" w:lineRule="auto"/>
        <w:tabs>
          <w:tab w:val="left" w:pos="6045"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bookmarkEnd w:id="280"/>
      <w:r/>
      <w:bookmarkEnd w:id="281"/>
      <w:r/>
      <w:r/>
    </w:p>
    <w:p>
      <w:pPr>
        <w:ind w:firstLine="372"/>
        <w:rPr>
          <w:color w:val="000000" w:themeColor="text1"/>
          <w:highlight w:val="none"/>
          <w14:textFill>
            <w14:solidFill>
              <w14:schemeClr w14:val="tx1"/>
            </w14:solidFill>
          </w14:textFill>
        </w:rPr>
      </w:pPr>
      <w:r/>
      <w:bookmarkStart w:id="282" w:name="_Toc107246281"/>
      <w:r/>
      <w:bookmarkStart w:id="283" w:name="_Toc104560901"/>
      <w:r/>
      <w:bookmarkStart w:id="284" w:name="_Toc103848586"/>
      <w:r/>
      <w:bookmarkStart w:id="285" w:name="_Toc102117319"/>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（6）偏离表</w:t>
      </w:r>
      <w:r/>
    </w:p>
    <w:p>
      <w:pPr>
        <w:pStyle w:val="863"/>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6-1</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14:textFill>
            <w14:solidFill>
              <w14:schemeClr w14:val="tx1"/>
            </w14:solidFill>
          </w14:textFill>
        </w:rPr>
        <w:t xml:space="preserve">商务</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要求响应及</w:t>
      </w:r>
      <w:r>
        <w:rPr>
          <w:rFonts w:hint="eastAsia" w:ascii="宋体" w:hAnsi="宋体" w:cs="宋体"/>
          <w:bCs w:val="0"/>
          <w:color w:val="000000" w:themeColor="text1"/>
          <w:sz w:val="24"/>
          <w:szCs w:val="24"/>
          <w:highlight w:val="none"/>
          <w14:textFill>
            <w14:solidFill>
              <w14:schemeClr w14:val="tx1"/>
            </w14:solidFill>
          </w14:textFill>
        </w:rPr>
        <w:t xml:space="preserve">偏离表</w:t>
      </w:r>
      <w:bookmarkEnd w:id="282"/>
      <w:r/>
      <w:bookmarkEnd w:id="283"/>
      <w:r/>
      <w:bookmarkEnd w:id="284"/>
      <w:r/>
      <w:r/>
    </w:p>
    <w:p>
      <w:pPr>
        <w:pStyle w:val="109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南京鼓楼医院新建食堂蒸汽发生器及配套设施采购项目</w:t>
      </w:r>
      <w:r/>
    </w:p>
    <w:tbl>
      <w:tblPr>
        <w:tblStyle w:val="83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736"/>
        <w:gridCol w:w="1791"/>
        <w:gridCol w:w="1134"/>
        <w:gridCol w:w="1781"/>
        <w:gridCol w:w="797"/>
      </w:tblGrid>
      <w:tr>
        <w:trPr>
          <w:jc w:val="center"/>
          <w:trHeight w:val="635"/>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JSZC-320100-JITC-G2025-0415</w:t>
            </w:r>
            <w:r>
              <w:rPr>
                <w:rFonts w:hint="eastAsia" w:hAnsi="宋体" w:cs="宋体"/>
                <w:color w:val="000000" w:themeColor="text1"/>
                <w:sz w:val="21"/>
                <w:szCs w:val="21"/>
                <w:highlight w:val="none"/>
                <w14:textFill>
                  <w14:solidFill>
                    <w14:schemeClr w14:val="tx1"/>
                  </w14:solidFill>
                </w14:textFill>
              </w:rPr>
              <w:t xml:space="preserve">序号</w:t>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97"/>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123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3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9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86" w:name="_Toc103848587"/>
      <w:r/>
      <w:bookmarkStart w:id="287"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3"/>
        <w:ind w:firstLine="426"/>
        <w:spacing w:before="0"/>
        <w:rPr>
          <w:rFonts w:hint="eastAsia" w:ascii="宋体" w:hAnsi="宋体" w:cs="宋体"/>
          <w:b/>
          <w:bCs w:val="0"/>
          <w:color w:val="000000" w:themeColor="text1"/>
          <w:sz w:val="24"/>
          <w:szCs w:val="24"/>
          <w:highlight w:val="none"/>
          <w:lang w:val="en-US" w:eastAsia="zh-CN" w:bidi="ar-SA"/>
          <w14:textFill>
            <w14:solidFill>
              <w14:schemeClr w14:val="tx1"/>
            </w14:solidFill>
          </w14:textFill>
        </w:rPr>
      </w:pPr>
      <w:r/>
      <w:bookmarkStart w:id="288" w:name="_Toc107246282"/>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（6-2）技术要求响应及偏离表</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南京鼓楼医院新建食堂蒸汽发生器及配套设施采购项目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3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JSZC-320100-JITC-G2025-0415</w:t>
            </w: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97"/>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6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4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pStyle w:val="84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863"/>
        <w:numPr>
          <w:ilvl w:val="0"/>
          <w:numId w:val="44"/>
        </w:numPr>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投标人具备投标资格的证明文件</w:t>
      </w:r>
      <w:bookmarkEnd w:id="286"/>
      <w:r/>
      <w:bookmarkEnd w:id="287"/>
      <w:r/>
      <w:bookmarkEnd w:id="288"/>
      <w:r/>
      <w:r/>
    </w:p>
    <w:p>
      <w:pPr>
        <w:pStyle w:val="86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89" w:name="_Toc103848588"/>
      <w:r/>
      <w:bookmarkStart w:id="290" w:name="_Toc104560903"/>
      <w:r/>
      <w:bookmarkStart w:id="291" w:name="_Toc10724628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5"/>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89"/>
      <w:r/>
      <w:bookmarkEnd w:id="290"/>
      <w:r/>
      <w:bookmarkEnd w:id="29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2" w:name="_Hlk33717720"/>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3" w:name="_Toc103848589"/>
      <w:r/>
      <w:bookmarkStart w:id="294" w:name="_Toc102117320"/>
      <w:r>
        <w:rPr>
          <w:rFonts w:hint="eastAsia" w:ascii="宋体" w:hAnsi="宋体" w:cs="宋体"/>
          <w:color w:val="000000" w:themeColor="text1"/>
          <w:highlight w:val="none"/>
          <w14:textFill>
            <w14:solidFill>
              <w14:schemeClr w14:val="tx1"/>
            </w14:solidFill>
          </w14:textFill>
        </w:rPr>
        <w:br w:type="page" w:clear="all"/>
      </w:r>
      <w:bookmarkStart w:id="295" w:name="_Toc104560904"/>
      <w:r/>
      <w:bookmarkStart w:id="296" w:name="_Toc107246284"/>
      <w:r/>
      <w:r/>
    </w:p>
    <w:p>
      <w:pPr>
        <w:pStyle w:val="863"/>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3"/>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863"/>
        <w:ind w:firstLine="426"/>
        <w:jc w:val="left"/>
        <w:spacing w:line="360" w:lineRule="auto"/>
        <w:rPr>
          <w:rFonts w:hint="eastAsia" w:ascii="宋体" w:hAnsi="宋体" w:cs="宋体"/>
          <w:bCs w:val="0"/>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97" w:name="_Toc102117326"/>
      <w:r/>
      <w:bookmarkStart w:id="298" w:name="_Toc104560911"/>
      <w:r/>
      <w:bookmarkStart w:id="299" w:name="_Toc107246291"/>
      <w:r/>
      <w:bookmarkStart w:id="300" w:name="_Toc103848596"/>
      <w:r>
        <w:rPr>
          <w:rFonts w:hint="eastAsia" w:ascii="宋体" w:hAnsi="宋体" w:cs="宋体"/>
          <w:bCs w:val="0"/>
          <w:color w:val="000000" w:themeColor="text1"/>
          <w:sz w:val="21"/>
          <w:szCs w:val="2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Cs w:val="0"/>
          <w:color w:val="000000" w:themeColor="text1"/>
          <w:sz w:val="21"/>
          <w:szCs w:val="21"/>
          <w:highlight w:val="none"/>
          <w14:textFill>
            <w14:solidFill>
              <w14:schemeClr w14:val="tx1"/>
            </w14:solidFill>
          </w14:textFill>
        </w:rPr>
        <w:t xml:space="preserve">-2至</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Cs w:val="0"/>
          <w:color w:val="000000" w:themeColor="text1"/>
          <w:sz w:val="21"/>
          <w:szCs w:val="21"/>
          <w:highlight w:val="none"/>
          <w14:textFill>
            <w14:solidFill>
              <w14:schemeClr w14:val="tx1"/>
            </w14:solidFill>
          </w14:textFill>
        </w:rPr>
        <w:t xml:space="preserve">-6款证明材料可使用《南京市政府采购供应商信用记录表暨信用承诺书》替代。</w:t>
      </w:r>
      <w:r/>
    </w:p>
    <w:p>
      <w:pPr>
        <w:pStyle w:val="863"/>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-2）南京市政府采购供应商信用记录表暨信用承诺书</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其中不适用信用承诺的情形:</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1）供应商被列入严重失信主体名单；</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2）被相关监督部门作出行政处罚且尚处在处罚有效期内；</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3）其他法律、行政法规规定的不适用信用承诺的情形。</w:t>
      </w:r>
      <w:r/>
    </w:p>
    <w:p>
      <w:pPr>
        <w:pStyle w:val="863"/>
        <w:ind w:firstLine="426"/>
        <w:jc w:val="left"/>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4"/>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-3)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pStyle w:val="863"/>
        <w:ind w:firstLine="426"/>
        <w:jc w:val="left"/>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863"/>
        <w:ind w:firstLine="374"/>
        <w:jc w:val="left"/>
        <w:spacing w:before="0" w:after="0"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-4）具有履行合同所必需的设备和专业技术能力，提供具备履行合同所必需的设备和专业技术能力的证明材料或承诺函（由供应商根据项目需求提供说明材料）；</w:t>
      </w:r>
      <w:r/>
    </w:p>
    <w:p>
      <w:pPr>
        <w:pStyle w:val="863"/>
        <w:ind w:firstLine="374"/>
        <w:jc w:val="left"/>
        <w:spacing w:before="0" w:after="0"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或联合体各方</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3"/>
        <w:ind w:left="1260" w:firstLine="426"/>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3"/>
        <w:ind w:left="1260" w:firstLine="426"/>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或联合体牵头人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名称（公章）：______________________</w:t>
      </w:r>
      <w:r/>
    </w:p>
    <w:p>
      <w:pPr>
        <w:ind w:firstLine="372"/>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63"/>
        <w:ind w:firstLine="426"/>
        <w:spacing w:line="360" w:lineRule="auto"/>
        <w:rPr>
          <w:rFonts w:hint="eastAsia" w:ascii="宋体" w:hAnsi="宋体" w:cs="宋体"/>
          <w:b w:val="0"/>
          <w:color w:val="000000" w:themeColor="text1"/>
          <w:highlight w:val="none"/>
          <w14:textFill>
            <w14:solidFill>
              <w14:schemeClr w14:val="tx1"/>
            </w14:solidFill>
          </w14:textFill>
        </w:rPr>
      </w:pPr>
      <w:r/>
      <w:bookmarkStart w:id="301" w:name="_Toc103848591"/>
      <w:r/>
      <w:bookmarkStart w:id="302"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End w:id="301"/>
      <w:r/>
      <w:bookmarkEnd w:id="302"/>
      <w:r/>
      <w:bookmarkStart w:id="303" w:name="_Toc107246287"/>
      <w:r/>
      <w:bookmarkStart w:id="304" w:name="_Toc10456090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-5）有依法缴纳税收和社会保障资金的良好记录的相关材料</w:t>
      </w:r>
      <w:bookmarkEnd w:id="303"/>
      <w:r/>
      <w:bookmarkEnd w:id="304"/>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420"/>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有依法缴纳税收和社会保障资金的良好记录，提供本次采购活动前6个月内（即2025年6月（含）以来），至少1个月缴纳税收和社会保险的凭证复印件，依法享受免缴、缓缴的，提供证明材料复印件；</w:t>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交投标文件截止时间前六个月内至少一个月依法缴纳税收的证明材料</w:t>
      </w:r>
      <w:r/>
    </w:p>
    <w:p>
      <w:pPr>
        <w:ind w:firstLine="373"/>
        <w:jc w:val="center"/>
        <w:spacing w:line="360" w:lineRule="auto"/>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注意：联合体投标的，本项证明材料联合体各方均须提供，否则将作为无效投标！</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63"/>
        <w:ind w:firstLine="566"/>
        <w:spacing w:line="360" w:lineRule="auto"/>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交投标文件截止时间前六个月内至少一个月依法缴纳税收的证明材料</w:t>
      </w:r>
      <w:r/>
    </w:p>
    <w:p>
      <w:pPr>
        <w:ind w:firstLine="373"/>
        <w:jc w:val="center"/>
        <w:spacing w:line="360" w:lineRule="auto"/>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注意：联合体投标的，本项证明材料联合体各方均须提供，否则将作为无效投标！</w:t>
      </w:r>
      <w:r/>
    </w:p>
    <w:p>
      <w:pPr>
        <w:pStyle w:val="863"/>
        <w:jc w:val="both"/>
        <w:spacing w:line="360" w:lineRule="auto"/>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r>
      <w:r/>
    </w:p>
    <w:p>
      <w:pPr>
        <w:pStyle w:val="863"/>
        <w:jc w:val="both"/>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05" w:name="_Toc107246289"/>
      <w:r/>
      <w:bookmarkStart w:id="306" w:name="_Toc102117325"/>
      <w:r/>
      <w:bookmarkStart w:id="307" w:name="_Toc104560909"/>
      <w:r/>
      <w:bookmarkStart w:id="308" w:name="_Toc103848594"/>
      <w:r/>
      <w:bookmarkStart w:id="309" w:name="_Toc104560910"/>
      <w:r/>
      <w:bookmarkStart w:id="310"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-6）</w:t>
      </w:r>
      <w:bookmarkEnd w:id="305"/>
      <w:r/>
      <w:bookmarkEnd w:id="306"/>
      <w:r/>
      <w:bookmarkEnd w:id="307"/>
      <w:r/>
      <w:bookmarkEnd w:id="308"/>
      <w:r>
        <w:rPr>
          <w:rFonts w:hint="eastAsia" w:ascii="宋体" w:hAnsi="宋体" w:cs="宋体"/>
          <w:bCs w:val="0"/>
          <w:color w:val="000000" w:themeColor="text1"/>
          <w:sz w:val="24"/>
          <w:szCs w:val="24"/>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863"/>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或联合体各方</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left="2940"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或联合体牵头人</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3"/>
        <w:ind w:firstLine="566"/>
        <w:spacing w:line="360" w:lineRule="auto"/>
        <w:rPr>
          <w:rFonts w:hint="eastAsia" w:ascii="宋体" w:hAnsi="宋体" w:cs="宋体"/>
          <w:b w:val="0"/>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863"/>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bookmarkEnd w:id="309"/>
      <w:r/>
      <w:bookmarkEnd w:id="310"/>
      <w:r/>
      <w:r/>
    </w:p>
    <w:p>
      <w:pPr>
        <w:pStyle w:val="863"/>
        <w:ind w:firstLine="426"/>
        <w:spacing w:line="360" w:lineRule="auto"/>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-8）承诺函</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郑重承诺</w:t>
      </w:r>
      <w:r>
        <w:rPr>
          <w:rFonts w:hint="eastAsia" w:hAnsi="宋体" w:cs="宋体"/>
          <w:color w:val="000000" w:themeColor="text1"/>
          <w:sz w:val="21"/>
          <w:szCs w:val="21"/>
          <w:highlight w:val="none"/>
          <w14:textFill>
            <w14:solidFill>
              <w14:schemeClr w14:val="tx1"/>
            </w14:solidFill>
          </w14:textFill>
        </w:rPr>
        <w:t xml:space="preserve">满足以下要求：</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97"/>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97"/>
        <w:ind w:firstLine="400"/>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7"/>
        <w:ind w:firstLine="400"/>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val="0"/>
          <w:color w:val="000000" w:themeColor="text1"/>
          <w:sz w:val="24"/>
          <w:szCs w:val="24"/>
          <w:highlight w:val="none"/>
          <w14:textFill>
            <w14:solidFill>
              <w14:schemeClr w14:val="tx1"/>
            </w14:solidFill>
          </w14:textFill>
        </w:rPr>
        <w:t xml:space="preserve">）</w:t>
      </w:r>
      <w:bookmarkEnd w:id="297"/>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298"/>
      <w:r/>
      <w:bookmarkEnd w:id="299"/>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（1）所投压力容器设备制造商的《中华人民共和国特种设备生产许可证》复印件（许可项目含固定式压力容器：中、低压容器（D））；</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非压力容器设备制造商负责压力容器设备安装的，应在投标文件中明确压力容器安装单位，并提供压力容器安装单位的《中华人民共和国特种设备生产许可证》复印件（许可项目包含承压类特种设备安装、修理、改造）（压力容器设备制造商直接负责压力容器设备安装的，本项可不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11" w:name="_Toc107246292"/>
      <w:r>
        <w:rPr>
          <w:rFonts w:hint="eastAsia" w:ascii="宋体" w:hAnsi="宋体" w:cs="宋体"/>
          <w:color w:val="000000" w:themeColor="text1"/>
          <w:highlight w:val="none"/>
          <w14:textFill>
            <w14:solidFill>
              <w14:schemeClr w14:val="tx1"/>
            </w14:solidFill>
          </w14:textFill>
        </w:rPr>
        <w:br w:type="page" w:clear="all"/>
      </w:r>
      <w:bookmarkEnd w:id="311"/>
      <w:r/>
      <w:bookmarkStart w:id="312" w:name="_Toc104560912"/>
      <w:r/>
      <w:bookmarkStart w:id="313" w:name="_Toc107246293"/>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（8）《南京市政府采购供应商信用记录表暨信用承诺书》</w:t>
      </w:r>
      <w:r/>
    </w:p>
    <w:p>
      <w:pPr>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34"/>
        <w:ind w:left="1240"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83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3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00"/>
      <w:r/>
      <w:bookmarkEnd w:id="312"/>
      <w:r/>
      <w:bookmarkEnd w:id="313"/>
      <w:r/>
      <w:r/>
    </w:p>
    <w:p>
      <w:pPr>
        <w:pStyle w:val="863"/>
        <w:ind w:firstLine="426"/>
        <w:rPr>
          <w:rFonts w:hint="eastAsia" w:ascii="宋体" w:hAnsi="宋体" w:cs="宋体"/>
          <w:b w:val="0"/>
          <w:color w:val="000000" w:themeColor="text1"/>
          <w:sz w:val="24"/>
          <w:szCs w:val="24"/>
          <w:highlight w:val="none"/>
          <w14:textFill>
            <w14:solidFill>
              <w14:schemeClr w14:val="tx1"/>
            </w14:solidFill>
          </w14:textFill>
        </w:rPr>
      </w:pPr>
      <w:r/>
      <w:bookmarkStart w:id="314" w:name="_Toc107246296"/>
      <w:r/>
      <w:bookmarkStart w:id="315" w:name="_Toc104560915"/>
      <w:r/>
      <w:bookmarkStart w:id="316" w:name="_Toc102117330"/>
      <w:r/>
      <w:bookmarkStart w:id="317" w:name="_Toc103848598"/>
      <w:r>
        <w:rPr>
          <w:rFonts w:hint="eastAsia" w:ascii="宋体" w:hAnsi="宋体" w:cs="宋体"/>
          <w:color w:val="000000" w:themeColor="text1"/>
          <w:sz w:val="24"/>
          <w:szCs w:val="24"/>
          <w:highlight w:val="none"/>
          <w14:textFill>
            <w14:solidFill>
              <w14:schemeClr w14:val="tx1"/>
            </w14:solidFill>
          </w14:textFill>
        </w:rPr>
        <w:t xml:space="preserve">（9）公章授权书（如需）</w:t>
      </w:r>
      <w:bookmarkEnd w:id="314"/>
      <w:r/>
      <w:bookmarkEnd w:id="315"/>
      <w:r/>
      <w:bookmarkEnd w:id="316"/>
      <w:r/>
      <w:bookmarkEnd w:id="317"/>
      <w:r/>
      <w:r/>
    </w:p>
    <w:p>
      <w:pPr>
        <w:pStyle w:val="1097"/>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97"/>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南京鼓楼医院新建食堂蒸汽发生器及配套设施采购项目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JSZC-320100-JITC-G2025-04150295</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97"/>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97"/>
        <w:ind w:right="420" w:firstLine="19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97"/>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9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63"/>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18" w:name="_Toc107246299"/>
      <w:r/>
      <w:bookmarkStart w:id="319" w:name="_Toc104560916"/>
      <w:r/>
      <w:bookmarkStart w:id="320"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18"/>
      <w:r/>
      <w:bookmarkEnd w:id="319"/>
      <w:r/>
      <w:bookmarkEnd w:id="320"/>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val="0"/>
          <w:color w:val="000000" w:themeColor="text1"/>
          <w:sz w:val="24"/>
          <w:szCs w:val="24"/>
          <w:highlight w:val="none"/>
          <w14:textFill>
            <w14:solidFill>
              <w14:schemeClr w14:val="tx1"/>
            </w14:solidFill>
          </w14:textFill>
        </w:rPr>
        <w:t xml:space="preserve">）用于本项目产品技术参数证明文件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63"/>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21" w:name="_Toc104560919"/>
      <w:r/>
      <w:bookmarkStart w:id="322" w:name="_Toc107246302"/>
      <w:r/>
      <w:bookmarkStart w:id="323" w:name="_Toc10384860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val="0"/>
          <w:color w:val="000000" w:themeColor="text1"/>
          <w:sz w:val="24"/>
          <w:szCs w:val="24"/>
          <w:highlight w:val="none"/>
          <w14:textFill>
            <w14:solidFill>
              <w14:schemeClr w14:val="tx1"/>
            </w14:solidFill>
          </w14:textFill>
        </w:rPr>
        <w:t xml:space="preserve">）投标人服务承诺</w:t>
      </w:r>
      <w:bookmarkEnd w:id="321"/>
      <w:r/>
      <w:bookmarkEnd w:id="322"/>
      <w:r/>
      <w:bookmarkEnd w:id="323"/>
      <w:r/>
      <w:r/>
    </w:p>
    <w:p>
      <w:pPr>
        <w:numPr>
          <w:ilvl w:val="0"/>
          <w:numId w:val="45"/>
        </w:num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服务承诺</w:t>
      </w:r>
      <w:r/>
    </w:p>
    <w:p>
      <w:pPr>
        <w:pStyle w:val="8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w:t>
      </w:r>
      <w:r/>
    </w:p>
    <w:p>
      <w:pPr>
        <w:pStyle w:val="8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我司承诺：能够提供无条件退换货服务。</w:t>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2024年  月  日</w:t>
      </w:r>
      <w:r/>
    </w:p>
    <w:p>
      <w:pPr>
        <w:numPr>
          <w:ilvl w:val="0"/>
          <w:numId w:val="45"/>
        </w:num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质保期承诺</w:t>
      </w:r>
      <w:r/>
    </w:p>
    <w:p>
      <w:pPr>
        <w:pStyle w:val="8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w:t>
      </w:r>
      <w:r/>
    </w:p>
    <w:p>
      <w:pPr>
        <w:pStyle w:val="84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我司承诺：响应采购文件要求的免费质保期（2年），在2年质保期基础上增加</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Calibri"/>
          <w:bCs/>
          <w:color w:val="000000" w:themeColor="text1"/>
          <w:szCs w:val="21"/>
          <w:highlight w:val="none"/>
          <w:u w:val="single"/>
          <w14:textFill>
            <w14:solidFill>
              <w14:schemeClr w14:val="tx1"/>
            </w14:solidFill>
          </w14:textFill>
        </w:rPr>
        <w:tab/>
      </w:r>
      <w:r>
        <w:rPr>
          <w:rFonts w:hint="eastAsia" w:ascii="宋体" w:hAnsi="宋体" w:cs="Calibri"/>
          <w:bCs/>
          <w:color w:val="000000" w:themeColor="text1"/>
          <w:szCs w:val="21"/>
          <w:highlight w:val="none"/>
          <w14:textFill>
            <w14:solidFill>
              <w14:schemeClr w14:val="tx1"/>
            </w14:solidFill>
          </w14:textFill>
        </w:rPr>
        <w:t xml:space="preserve">年。</w:t>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2024年  月  日</w:t>
      </w:r>
      <w:r/>
    </w:p>
    <w:p>
      <w:pPr>
        <w:numPr>
          <w:ilvl w:val="0"/>
          <w:numId w:val="45"/>
        </w:numPr>
        <w:spacing w:line="48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专项人员对接服务承诺</w:t>
      </w:r>
      <w:r/>
    </w:p>
    <w:p>
      <w:pPr>
        <w:pStyle w:val="840"/>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南京鼓楼医院：</w:t>
      </w:r>
      <w:r/>
    </w:p>
    <w:p>
      <w:pPr>
        <w:pStyle w:val="840"/>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我司承诺：成立专门人员与采购人对接设计、制作、送货及售后、开票等相关事宜的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pStyle w:val="840"/>
        <w:ind w:firstLine="48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2024年  月  日</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4" w:name="_Toc107246303"/>
      <w:r/>
      <w:bookmarkStart w:id="325" w:name="_Toc104560920"/>
      <w:r/>
      <w:bookmarkStart w:id="326" w:name="_Toc103848603"/>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val="0"/>
          <w:color w:val="000000" w:themeColor="text1"/>
          <w:sz w:val="24"/>
          <w:szCs w:val="24"/>
          <w:highlight w:val="none"/>
          <w14:textFill>
            <w14:solidFill>
              <w14:schemeClr w14:val="tx1"/>
            </w14:solidFill>
          </w14:textFill>
        </w:rPr>
        <w:t xml:space="preserve">）用于本项目人员简历表</w:t>
      </w:r>
      <w:bookmarkEnd w:id="324"/>
      <w:r/>
      <w:bookmarkEnd w:id="325"/>
      <w:r/>
      <w:bookmarkEnd w:id="326"/>
      <w:r/>
      <w:r/>
    </w:p>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31"/>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09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9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南京鼓楼医院新建食堂蒸汽发生器及配套设施采购项目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3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JSZC-320100-JITC-G2025-0415</w:t>
            </w:r>
            <w:r>
              <w:rPr>
                <w:rFonts w:hint="eastAsia" w:ascii="宋体" w:hAnsi="宋体" w:cs="宋体"/>
                <w:color w:val="000000" w:themeColor="text1"/>
                <w:sz w:val="24"/>
                <w:highlight w:val="none"/>
                <w14:textFill>
                  <w14:solidFill>
                    <w14:schemeClr w14:val="tx1"/>
                  </w14:solidFill>
                </w14:textFill>
              </w:rPr>
              <w:t xml:space="preserve">序号</w:t>
            </w:r>
            <w:r/>
          </w:p>
        </w:tc>
        <w:tc>
          <w:tcPr>
            <w:tcW w:w="1129"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1260"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9"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6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63"/>
        <w:ind w:firstLine="498"/>
        <w:spacing w:before="0"/>
        <w:rPr>
          <w:rFonts w:hint="eastAsia" w:ascii="宋体" w:hAnsi="宋体" w:cs="宋体"/>
          <w:color w:val="000000" w:themeColor="text1"/>
          <w:highlight w:val="none"/>
          <w14:textFill>
            <w14:solidFill>
              <w14:schemeClr w14:val="tx1"/>
            </w14:solidFill>
          </w14:textFill>
        </w:rPr>
      </w:pPr>
      <w:r/>
      <w:bookmarkStart w:id="327" w:name="_Toc103848605"/>
      <w:r/>
      <w:bookmarkStart w:id="328" w:name="_Toc104560922"/>
      <w:r/>
      <w:bookmarkStart w:id="329" w:name="_Toc107246305"/>
      <w:r/>
      <w:bookmarkStart w:id="330" w:name="_Toc100905289"/>
      <w:r/>
      <w:bookmarkStart w:id="331" w:name="_Toc96347904"/>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27"/>
      <w:r/>
      <w:bookmarkEnd w:id="328"/>
      <w:r/>
      <w:bookmarkEnd w:id="329"/>
      <w:r/>
      <w:r/>
    </w:p>
    <w:p>
      <w:pPr>
        <w:ind w:firstLine="372"/>
        <w:rPr>
          <w:rFonts w:hint="eastAsia" w:ascii="宋体" w:hAnsi="宋体" w:cs="宋体"/>
          <w:color w:val="000000" w:themeColor="text1"/>
          <w:highlight w:val="none"/>
          <w14:textFill>
            <w14:solidFill>
              <w14:schemeClr w14:val="tx1"/>
            </w14:solidFill>
          </w14:textFill>
        </w:rPr>
      </w:pPr>
      <w:r/>
      <w:bookmarkStart w:id="332" w:name="_Toc103848606"/>
      <w:r/>
      <w:bookmarkStart w:id="333" w:name="_Toc104560923"/>
      <w:r/>
      <w:bookmarkStart w:id="334" w:name="_Toc10724630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5" w:name="_Toc100905295"/>
      <w:r/>
      <w:bookmarkStart w:id="336" w:name="_Toc103848607"/>
      <w:r/>
      <w:bookmarkStart w:id="337" w:name="_Toc107246307"/>
      <w:r/>
      <w:bookmarkStart w:id="338" w:name="_Toc104560924"/>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9" w:name="_Toc104560925"/>
      <w:r/>
      <w:bookmarkStart w:id="340" w:name="_Toc107246308"/>
      <w:r/>
      <w:bookmarkStart w:id="341" w:name="_Toc103848608"/>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39"/>
      <w:r/>
      <w:bookmarkEnd w:id="340"/>
      <w:r/>
      <w:bookmarkEnd w:id="341"/>
      <w:r/>
      <w:r/>
    </w:p>
    <w:p>
      <w:pPr>
        <w:pStyle w:val="84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4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35"/>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36"/>
      <w:r/>
      <w:bookmarkEnd w:id="337"/>
      <w:r/>
      <w:bookmarkEnd w:id="33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30"/>
      <w:r/>
      <w:bookmarkEnd w:id="332"/>
      <w:r/>
      <w:bookmarkEnd w:id="333"/>
      <w:r/>
      <w:bookmarkEnd w:id="33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9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南京鼓楼医院新建食堂蒸汽发生器及配套设施采购项目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工</w:t>
      </w:r>
      <w:r>
        <w:rPr>
          <w:rFonts w:hint="eastAsia" w:ascii="宋体" w:hAnsi="宋体" w:cs="宋体"/>
          <w:color w:val="000000" w:themeColor="text1"/>
          <w:position w:val="-2"/>
          <w:szCs w:val="21"/>
          <w:highlight w:val="none"/>
          <w:u w:val="singl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工</w:t>
      </w:r>
      <w:r>
        <w:rPr>
          <w:rFonts w:hint="eastAsia" w:ascii="宋体" w:hAnsi="宋体" w:cs="宋体"/>
          <w:color w:val="000000" w:themeColor="text1"/>
          <w:position w:val="-2"/>
          <w:szCs w:val="21"/>
          <w:highlight w:val="none"/>
          <w:u w:val="singl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9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9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9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9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9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31"/>
      <w:r/>
      <w:r/>
    </w:p>
    <w:p>
      <w:pPr>
        <w:pStyle w:val="109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p>
    <w:pPr>
      <w:pStyle w:val="8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51"/>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851"/>
          <w:jc w:val="center"/>
        </w:pPr>
        <w:r>
          <w:fldChar w:fldCharType="begin"/>
        </w:r>
        <w:r>
          <w:instrText xml:space="preserve">PAGE   \* MERGEFORMAT</w:instrText>
        </w:r>
        <w:r>
          <w:fldChar w:fldCharType="separate"/>
        </w:r>
        <w:r>
          <w:rPr>
            <w:lang w:val="zh-CN"/>
          </w:rPr>
          <w:t xml:space="preserve">41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52"/>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南京鼓楼医院新建食堂蒸汽发生器及配套设施采购</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96" w:hanging="396"/>
      </w:pPr>
      <w:rPr>
        <w:rFonts w:hint="default"/>
      </w:rPr>
    </w:lvl>
    <w:lvl w:ilvl="1">
      <w:start w:val="1"/>
      <w:numFmt w:val="decimal"/>
      <w:isLgl w:val="false"/>
      <w:suff w:val="tab"/>
      <w:lvlText w:val="%2."/>
      <w:lvlJc w:val="left"/>
      <w:pPr>
        <w:ind w:left="396" w:hanging="396"/>
      </w:pPr>
      <w:rPr>
        <w:rFonts w:ascii="宋体" w:hAnsi="宋体" w:eastAsia="宋体" w:cs="宋体"/>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3"/>
      <w:numFmt w:val="decimal"/>
      <w:isLgl/>
      <w:suff w:val="tab"/>
      <w:lvlText w:val="%1.%2"/>
      <w:lvlJc w:val="left"/>
      <w:pPr>
        <w:ind w:left="792" w:hanging="372"/>
      </w:pPr>
      <w:rPr>
        <w:rFonts w:hint="default"/>
      </w:rPr>
    </w:lvl>
    <w:lvl w:ilvl="2">
      <w:start w:val="1"/>
      <w:numFmt w:val="decimal"/>
      <w:isLgl/>
      <w:suff w:val="tab"/>
      <w:lvlText w:val="%1.%2.%3"/>
      <w:lvlJc w:val="left"/>
      <w:pPr>
        <w:ind w:left="1560" w:hanging="720"/>
      </w:pPr>
      <w:rPr>
        <w:rFonts w:hint="default"/>
      </w:rPr>
    </w:lvl>
    <w:lvl w:ilvl="3">
      <w:start w:val="1"/>
      <w:numFmt w:val="decimal"/>
      <w:isLgl/>
      <w:suff w:val="tab"/>
      <w:lvlText w:val="%1.%2.%3.%4"/>
      <w:lvlJc w:val="left"/>
      <w:pPr>
        <w:ind w:left="1980" w:hanging="720"/>
      </w:pPr>
      <w:rPr>
        <w:rFonts w:hint="default"/>
      </w:rPr>
    </w:lvl>
    <w:lvl w:ilvl="4">
      <w:start w:val="1"/>
      <w:numFmt w:val="decimal"/>
      <w:isLgl/>
      <w:suff w:val="tab"/>
      <w:lvlText w:val="%1.%2.%3.%4.%5"/>
      <w:lvlJc w:val="left"/>
      <w:pPr>
        <w:ind w:left="2760" w:hanging="1080"/>
      </w:pPr>
      <w:rPr>
        <w:rFonts w:hint="default"/>
      </w:rPr>
    </w:lvl>
    <w:lvl w:ilvl="5">
      <w:start w:val="1"/>
      <w:numFmt w:val="decimal"/>
      <w:isLgl/>
      <w:suff w:val="tab"/>
      <w:lvlText w:val="%1.%2.%3.%4.%5.%6"/>
      <w:lvlJc w:val="left"/>
      <w:pPr>
        <w:ind w:left="3180" w:hanging="1080"/>
      </w:pPr>
      <w:rPr>
        <w:rFonts w:hint="default"/>
      </w:rPr>
    </w:lvl>
    <w:lvl w:ilvl="6">
      <w:start w:val="1"/>
      <w:numFmt w:val="decimal"/>
      <w:isLgl/>
      <w:suff w:val="tab"/>
      <w:lvlText w:val="%1.%2.%3.%4.%5.%6.%7"/>
      <w:lvlJc w:val="left"/>
      <w:pPr>
        <w:ind w:left="3600" w:hanging="1080"/>
      </w:pPr>
      <w:rPr>
        <w:rFonts w:hint="default"/>
      </w:rPr>
    </w:lvl>
    <w:lvl w:ilvl="7">
      <w:start w:val="1"/>
      <w:numFmt w:val="decimal"/>
      <w:isLgl/>
      <w:suff w:val="tab"/>
      <w:lvlText w:val="%1.%2.%3.%4.%5.%6.%7.%8"/>
      <w:lvlJc w:val="left"/>
      <w:pPr>
        <w:ind w:left="4380" w:hanging="1440"/>
      </w:pPr>
      <w:rPr>
        <w:rFonts w:hint="default"/>
      </w:rPr>
    </w:lvl>
    <w:lvl w:ilvl="8">
      <w:start w:val="1"/>
      <w:numFmt w:val="decimal"/>
      <w:isLgl/>
      <w:suff w:val="tab"/>
      <w:lvlText w:val="%1.%2.%3.%4.%5.%6.%7.%8.%9"/>
      <w:lvlJc w:val="left"/>
      <w:pPr>
        <w:ind w:left="4800" w:hanging="1440"/>
      </w:pPr>
      <w:rPr>
        <w:rFonts w:hint="default"/>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360" w:hanging="360"/>
      </w:pPr>
      <w:rPr>
        <w:rFonts w:hint="default"/>
      </w:rPr>
    </w:lvl>
    <w:lvl w:ilvl="1">
      <w:start w:val="3"/>
      <w:numFmt w:val="decimal"/>
      <w:isLgl/>
      <w:suff w:val="tab"/>
      <w:lvlText w:val="%1.%2"/>
      <w:lvlJc w:val="left"/>
      <w:pPr>
        <w:ind w:left="360" w:hanging="360"/>
      </w:pPr>
      <w:rPr>
        <w:rFonts w:hint="default"/>
      </w:rPr>
    </w:lvl>
    <w:lvl w:ilvl="2">
      <w:start w:val="1"/>
      <w:numFmt w:val="decimal"/>
      <w:isLgl/>
      <w:suff w:val="tab"/>
      <w:lvlText w:val="%1.%2.%3"/>
      <w:lvlJc w:val="left"/>
      <w:pPr>
        <w:ind w:left="720" w:hanging="720"/>
      </w:pPr>
      <w:rPr>
        <w:rFonts w:hint="default"/>
      </w:rPr>
    </w:lvl>
    <w:lvl w:ilvl="3">
      <w:start w:val="1"/>
      <w:numFmt w:val="decimal"/>
      <w:isLgl/>
      <w:suff w:val="tab"/>
      <w:lvlText w:val="%1.%2.%3.%4"/>
      <w:lvlJc w:val="left"/>
      <w:pPr>
        <w:ind w:left="720" w:hanging="72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440" w:hanging="1440"/>
      </w:pPr>
      <w:rPr>
        <w:rFonts w:hint="default"/>
      </w:rPr>
    </w:lvl>
    <w:lvl w:ilvl="6">
      <w:start w:val="1"/>
      <w:numFmt w:val="decimal"/>
      <w:isLgl/>
      <w:suff w:val="tab"/>
      <w:lvlText w:val="%1.%2.%3.%4.%5.%6.%7"/>
      <w:lvlJc w:val="left"/>
      <w:pPr>
        <w:ind w:left="1440" w:hanging="1440"/>
      </w:pPr>
      <w:rPr>
        <w:rFonts w:hint="default"/>
      </w:rPr>
    </w:lvl>
    <w:lvl w:ilvl="7">
      <w:start w:val="1"/>
      <w:numFmt w:val="decimal"/>
      <w:isLgl/>
      <w:suff w:val="tab"/>
      <w:lvlText w:val="%1.%2.%3.%4.%5.%6.%7.%8"/>
      <w:lvlJc w:val="left"/>
      <w:pPr>
        <w:ind w:left="1800" w:hanging="1800"/>
      </w:pPr>
      <w:rPr>
        <w:rFonts w:hint="default"/>
      </w:rPr>
    </w:lvl>
    <w:lvl w:ilvl="8">
      <w:start w:val="1"/>
      <w:numFmt w:val="decimal"/>
      <w:isLgl/>
      <w:suff w:val="tab"/>
      <w:lvlText w:val="%1.%2.%3.%4.%5.%6.%7.%8.%9"/>
      <w:lvlJc w:val="left"/>
      <w:pPr>
        <w:ind w:left="1800" w:hanging="1800"/>
      </w:pPr>
      <w:rPr>
        <w:rFonts w:hint="default"/>
      </w:rPr>
    </w:lvl>
  </w:abstractNum>
  <w:abstractNum w:abstractNumId="30">
    <w:multiLevelType w:val="hybridMultilevel"/>
    <w:lvl w:ilvl="0">
      <w:start w:val="1"/>
      <w:numFmt w:val="decimal"/>
      <w:isLgl w:val="false"/>
      <w:suff w:val="tab"/>
      <w:lvlText w:val="%1"/>
      <w:lvlJc w:val="left"/>
      <w:pPr>
        <w:ind w:left="360" w:hanging="360"/>
      </w:pPr>
      <w:rPr>
        <w:rFonts w:hint="default" w:ascii="Times New Roman" w:hAnsi="Times New Roman" w:cs="Times New Roman"/>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2"/>
      <w:numFmt w:val="decimal"/>
      <w:isLgl/>
      <w:suff w:val="tab"/>
      <w:lvlText w:val="%1.%2"/>
      <w:lvlJc w:val="left"/>
      <w:pPr>
        <w:ind w:left="420" w:hanging="420"/>
      </w:pPr>
      <w:rPr>
        <w:rFonts w:hint="default"/>
      </w:rPr>
    </w:lvl>
    <w:lvl w:ilvl="2">
      <w:start w:val="1"/>
      <w:numFmt w:val="decimal"/>
      <w:isLgl/>
      <w:suff w:val="tab"/>
      <w:lvlText w:val="%1.%2.%3"/>
      <w:lvlJc w:val="left"/>
      <w:pPr>
        <w:ind w:left="720" w:hanging="720"/>
      </w:pPr>
      <w:rPr>
        <w:rFonts w:hint="default"/>
      </w:rPr>
    </w:lvl>
    <w:lvl w:ilvl="3">
      <w:start w:val="1"/>
      <w:numFmt w:val="decimal"/>
      <w:isLgl/>
      <w:suff w:val="tab"/>
      <w:lvlText w:val="%1.%2.%3.%4"/>
      <w:lvlJc w:val="left"/>
      <w:pPr>
        <w:ind w:left="720" w:hanging="72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080" w:hanging="1080"/>
      </w:pPr>
      <w:rPr>
        <w:rFonts w:hint="default"/>
      </w:rPr>
    </w:lvl>
    <w:lvl w:ilvl="6">
      <w:start w:val="1"/>
      <w:numFmt w:val="decimal"/>
      <w:isLgl/>
      <w:suff w:val="tab"/>
      <w:lvlText w:val="%1.%2.%3.%4.%5.%6.%7"/>
      <w:lvlJc w:val="left"/>
      <w:pPr>
        <w:ind w:left="1440" w:hanging="1440"/>
      </w:pPr>
      <w:rPr>
        <w:rFonts w:hint="default"/>
      </w:rPr>
    </w:lvl>
    <w:lvl w:ilvl="7">
      <w:start w:val="1"/>
      <w:numFmt w:val="decimal"/>
      <w:isLgl/>
      <w:suff w:val="tab"/>
      <w:lvlText w:val="%1.%2.%3.%4.%5.%6.%7.%8"/>
      <w:lvlJc w:val="left"/>
      <w:pPr>
        <w:ind w:left="1440" w:hanging="1440"/>
      </w:pPr>
      <w:rPr>
        <w:rFonts w:hint="default"/>
      </w:rPr>
    </w:lvl>
    <w:lvl w:ilvl="8">
      <w:start w:val="1"/>
      <w:numFmt w:val="decimal"/>
      <w:isLgl/>
      <w:suff w:val="tab"/>
      <w:lvlText w:val="%1.%2.%3.%4.%5.%6.%7.%8.%9"/>
      <w:lvlJc w:val="left"/>
      <w:pPr>
        <w:ind w:left="1800" w:hanging="1800"/>
      </w:pPr>
      <w:rPr>
        <w:rFonts w:hint="default"/>
      </w:r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360" w:hanging="360"/>
      </w:pPr>
      <w:rPr>
        <w:rFonts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8"/>
  </w:num>
  <w:num w:numId="2">
    <w:abstractNumId w:val="20"/>
  </w:num>
  <w:num w:numId="3">
    <w:abstractNumId w:val="1"/>
  </w:num>
  <w:num w:numId="4">
    <w:abstractNumId w:val="4"/>
  </w:num>
  <w:num w:numId="5">
    <w:abstractNumId w:val="43"/>
  </w:num>
  <w:num w:numId="6">
    <w:abstractNumId w:val="37"/>
  </w:num>
  <w:num w:numId="7">
    <w:abstractNumId w:val="38"/>
  </w:num>
  <w:num w:numId="8">
    <w:abstractNumId w:val="21"/>
  </w:num>
  <w:num w:numId="9">
    <w:abstractNumId w:val="33"/>
  </w:num>
  <w:num w:numId="10">
    <w:abstractNumId w:val="17"/>
  </w:num>
  <w:num w:numId="11">
    <w:abstractNumId w:val="36"/>
  </w:num>
  <w:num w:numId="12">
    <w:abstractNumId w:val="44"/>
  </w:num>
  <w:num w:numId="13">
    <w:abstractNumId w:val="29"/>
  </w:num>
  <w:num w:numId="14">
    <w:abstractNumId w:val="9"/>
  </w:num>
  <w:num w:numId="15">
    <w:abstractNumId w:val="14"/>
  </w:num>
  <w:num w:numId="16">
    <w:abstractNumId w:val="41"/>
  </w:num>
  <w:num w:numId="17">
    <w:abstractNumId w:val="19"/>
  </w:num>
  <w:num w:numId="18">
    <w:abstractNumId w:val="8"/>
  </w:num>
  <w:num w:numId="19">
    <w:abstractNumId w:val="13"/>
  </w:num>
  <w:num w:numId="20">
    <w:abstractNumId w:val="24"/>
  </w:num>
  <w:num w:numId="21">
    <w:abstractNumId w:val="35"/>
  </w:num>
  <w:num w:numId="22">
    <w:abstractNumId w:val="5"/>
  </w:num>
  <w:num w:numId="23">
    <w:abstractNumId w:val="30"/>
  </w:num>
  <w:num w:numId="24">
    <w:abstractNumId w:val="6"/>
  </w:num>
  <w:num w:numId="25">
    <w:abstractNumId w:val="25"/>
  </w:num>
  <w:num w:numId="26">
    <w:abstractNumId w:val="11"/>
  </w:num>
  <w:num w:numId="27">
    <w:abstractNumId w:val="34"/>
  </w:num>
  <w:num w:numId="28">
    <w:abstractNumId w:val="39"/>
  </w:num>
  <w:num w:numId="29">
    <w:abstractNumId w:val="26"/>
  </w:num>
  <w:num w:numId="30">
    <w:abstractNumId w:val="31"/>
  </w:num>
  <w:num w:numId="31">
    <w:abstractNumId w:val="16"/>
  </w:num>
  <w:num w:numId="32">
    <w:abstractNumId w:val="15"/>
  </w:num>
  <w:num w:numId="33">
    <w:abstractNumId w:val="28"/>
  </w:num>
  <w:num w:numId="34">
    <w:abstractNumId w:val="7"/>
  </w:num>
  <w:num w:numId="35">
    <w:abstractNumId w:val="42"/>
  </w:num>
  <w:num w:numId="36">
    <w:abstractNumId w:val="22"/>
  </w:num>
  <w:num w:numId="37">
    <w:abstractNumId w:val="12"/>
  </w:num>
  <w:num w:numId="38">
    <w:abstractNumId w:val="40"/>
  </w:num>
  <w:num w:numId="39">
    <w:abstractNumId w:val="10"/>
  </w:num>
  <w:num w:numId="40">
    <w:abstractNumId w:val="27"/>
  </w:num>
  <w:num w:numId="41">
    <w:abstractNumId w:val="0"/>
  </w:num>
  <w:num w:numId="42">
    <w:abstractNumId w:val="23"/>
  </w:num>
  <w:num w:numId="43">
    <w:abstractNumId w:val="3"/>
  </w:num>
  <w:num w:numId="44">
    <w:abstractNumId w:val="32"/>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1055"/>
    <w:uiPriority w:val="0"/>
    <w:qFormat/>
    <w:pPr>
      <w:ind w:left="100" w:right="100"/>
      <w:keepLines/>
      <w:keepNext/>
      <w:spacing w:before="120" w:after="120"/>
      <w:outlineLvl w:val="0"/>
    </w:pPr>
    <w:rPr>
      <w:b/>
      <w:bCs/>
      <w:szCs w:val="44"/>
    </w:rPr>
  </w:style>
  <w:style w:type="paragraph" w:styleId="822">
    <w:name w:val="Heading 2"/>
    <w:basedOn w:val="820"/>
    <w:next w:val="820"/>
    <w:link w:val="875"/>
    <w:uiPriority w:val="0"/>
    <w:qFormat/>
    <w:pPr>
      <w:keepLines/>
      <w:keepNext/>
      <w:spacing w:before="260" w:after="260" w:line="416" w:lineRule="auto"/>
      <w:outlineLvl w:val="1"/>
    </w:pPr>
    <w:rPr>
      <w:rFonts w:ascii="等线 Light" w:hAnsi="等线 Light" w:eastAsia="等线 Light"/>
      <w:b/>
      <w:bCs/>
      <w:sz w:val="32"/>
      <w:szCs w:val="32"/>
    </w:rPr>
  </w:style>
  <w:style w:type="paragraph" w:styleId="823">
    <w:name w:val="Heading 3"/>
    <w:basedOn w:val="820"/>
    <w:next w:val="834"/>
    <w:link w:val="874"/>
    <w:uiPriority w:val="9"/>
    <w:qFormat/>
    <w:pPr>
      <w:keepLines/>
      <w:keepNext/>
      <w:spacing w:before="260" w:after="260" w:line="416" w:lineRule="auto"/>
      <w:outlineLvl w:val="2"/>
    </w:pPr>
    <w:rPr>
      <w:b/>
      <w:bCs/>
      <w:sz w:val="32"/>
      <w:szCs w:val="32"/>
    </w:rPr>
  </w:style>
  <w:style w:type="paragraph" w:styleId="824">
    <w:name w:val="Heading 4"/>
    <w:basedOn w:val="820"/>
    <w:next w:val="820"/>
    <w:link w:val="905"/>
    <w:uiPriority w:val="0"/>
    <w:qFormat/>
    <w:pPr>
      <w:keepLines/>
      <w:keepNext/>
      <w:spacing w:before="280" w:after="290" w:line="376" w:lineRule="auto"/>
      <w:outlineLvl w:val="3"/>
    </w:pPr>
    <w:rPr>
      <w:rFonts w:ascii="等线 Light" w:hAnsi="等线 Light" w:eastAsia="等线 Light"/>
      <w:b/>
      <w:bCs/>
      <w:sz w:val="28"/>
      <w:szCs w:val="28"/>
    </w:rPr>
  </w:style>
  <w:style w:type="paragraph" w:styleId="825">
    <w:name w:val="Heading 5"/>
    <w:basedOn w:val="820"/>
    <w:next w:val="820"/>
    <w:link w:val="912"/>
    <w:uiPriority w:val="9"/>
    <w:unhideWhenUsed/>
    <w:qFormat/>
    <w:pPr>
      <w:keepLines/>
      <w:keepNext/>
      <w:spacing w:before="320" w:after="200"/>
      <w:outlineLvl w:val="4"/>
    </w:pPr>
    <w:rPr>
      <w:rFonts w:ascii="Arial" w:hAnsi="Arial" w:eastAsia="Arial" w:cs="Arial"/>
      <w:b/>
      <w:bCs/>
      <w:sz w:val="24"/>
    </w:rPr>
  </w:style>
  <w:style w:type="paragraph" w:styleId="826">
    <w:name w:val="Heading 6"/>
    <w:basedOn w:val="820"/>
    <w:next w:val="820"/>
    <w:link w:val="1056"/>
    <w:uiPriority w:val="0"/>
    <w:qFormat/>
    <w:pPr>
      <w:keepLines/>
      <w:keepNext/>
      <w:spacing w:before="240" w:after="64" w:line="320" w:lineRule="auto"/>
      <w:outlineLvl w:val="5"/>
    </w:pPr>
    <w:rPr>
      <w:rFonts w:ascii="等线 Light" w:hAnsi="等线 Light" w:eastAsia="等线 Light"/>
      <w:b/>
      <w:bCs/>
      <w:sz w:val="24"/>
    </w:rPr>
  </w:style>
  <w:style w:type="paragraph" w:styleId="827">
    <w:name w:val="Heading 7"/>
    <w:basedOn w:val="820"/>
    <w:next w:val="820"/>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1057"/>
    <w:uiPriority w:val="0"/>
    <w:qFormat/>
    <w:pPr>
      <w:keepLines/>
      <w:keepNext/>
      <w:spacing w:before="240" w:after="64" w:line="320" w:lineRule="auto"/>
      <w:outlineLvl w:val="7"/>
    </w:pPr>
    <w:rPr>
      <w:rFonts w:ascii="等线 Light" w:hAnsi="等线 Light" w:eastAsia="等线 Light"/>
      <w:sz w:val="24"/>
    </w:rPr>
  </w:style>
  <w:style w:type="paragraph" w:styleId="829">
    <w:name w:val="Heading 9"/>
    <w:basedOn w:val="820"/>
    <w:next w:val="820"/>
    <w:link w:val="916"/>
    <w:uiPriority w:val="9"/>
    <w:unhideWhenUsed/>
    <w:qFormat/>
    <w:pPr>
      <w:keepLines/>
      <w:keepNext/>
      <w:spacing w:before="320" w:after="200"/>
      <w:outlineLvl w:val="8"/>
    </w:pPr>
    <w:rPr>
      <w:rFonts w:ascii="Arial" w:hAnsi="Arial" w:eastAsia="Arial" w:cs="Arial"/>
      <w:i/>
      <w:iCs/>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customStyle="1">
    <w:name w:val="正文首行缩进1"/>
    <w:basedOn w:val="833"/>
    <w:uiPriority w:val="0"/>
    <w:qFormat/>
    <w:pPr>
      <w:ind w:firstLine="420"/>
      <w:spacing w:line="360" w:lineRule="auto"/>
    </w:pPr>
    <w:rPr>
      <w:szCs w:val="21"/>
    </w:rPr>
  </w:style>
  <w:style w:type="paragraph" w:styleId="833" w:customStyle="1">
    <w:name w:val="正文文本111"/>
    <w:basedOn w:val="820"/>
    <w:next w:val="820"/>
    <w:uiPriority w:val="1"/>
    <w:qFormat/>
    <w:pPr>
      <w:spacing w:after="120"/>
    </w:pPr>
  </w:style>
  <w:style w:type="paragraph" w:styleId="834">
    <w:name w:val="Normal Indent"/>
    <w:basedOn w:val="820"/>
    <w:link w:val="1059"/>
    <w:uiPriority w:val="99"/>
    <w:qFormat/>
    <w:pPr>
      <w:ind w:firstLine="420"/>
    </w:pPr>
    <w:rPr>
      <w:szCs w:val="20"/>
    </w:rPr>
  </w:style>
  <w:style w:type="paragraph" w:styleId="835">
    <w:name w:val="List 3"/>
    <w:basedOn w:val="820"/>
    <w:uiPriority w:val="0"/>
    <w:qFormat/>
    <w:pPr>
      <w:contextualSpacing/>
      <w:ind w:left="100" w:hanging="200"/>
      <w:jc w:val="left"/>
      <w:widowControl/>
    </w:pPr>
    <w:rPr>
      <w:sz w:val="20"/>
      <w:szCs w:val="20"/>
    </w:rPr>
  </w:style>
  <w:style w:type="paragraph" w:styleId="836">
    <w:name w:val="toc 7"/>
    <w:basedOn w:val="820"/>
    <w:next w:val="820"/>
    <w:uiPriority w:val="39"/>
    <w:unhideWhenUsed/>
    <w:qFormat/>
    <w:pPr>
      <w:ind w:left="1701"/>
      <w:spacing w:after="57"/>
    </w:pPr>
  </w:style>
  <w:style w:type="paragraph" w:styleId="837">
    <w:name w:val="Caption"/>
    <w:basedOn w:val="820"/>
    <w:next w:val="82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8">
    <w:name w:val="Document Map"/>
    <w:basedOn w:val="820"/>
    <w:link w:val="1060"/>
    <w:uiPriority w:val="0"/>
    <w:qFormat/>
    <w:pPr>
      <w:shd w:val="clear" w:color="auto" w:fill="000080"/>
    </w:pPr>
  </w:style>
  <w:style w:type="paragraph" w:styleId="839">
    <w:name w:val="annotation text"/>
    <w:basedOn w:val="820"/>
    <w:link w:val="1061"/>
    <w:uiPriority w:val="0"/>
    <w:qFormat/>
    <w:pPr>
      <w:jc w:val="left"/>
    </w:pPr>
  </w:style>
  <w:style w:type="paragraph" w:styleId="840">
    <w:name w:val="Body Text"/>
    <w:basedOn w:val="820"/>
    <w:next w:val="820"/>
    <w:link w:val="1062"/>
    <w:uiPriority w:val="1"/>
    <w:qFormat/>
    <w:pPr>
      <w:spacing w:after="120"/>
    </w:pPr>
  </w:style>
  <w:style w:type="paragraph" w:styleId="841">
    <w:name w:val="Body Text Indent"/>
    <w:basedOn w:val="820"/>
    <w:next w:val="842"/>
    <w:uiPriority w:val="0"/>
    <w:qFormat/>
    <w:pPr>
      <w:ind w:left="420"/>
      <w:spacing w:after="120"/>
    </w:pPr>
  </w:style>
  <w:style w:type="paragraph" w:styleId="842">
    <w:name w:val="envelope return"/>
    <w:basedOn w:val="820"/>
    <w:uiPriority w:val="0"/>
    <w:qFormat/>
    <w:rPr>
      <w:rFonts w:ascii="Arial" w:hAnsi="Arial"/>
    </w:rPr>
  </w:style>
  <w:style w:type="paragraph" w:styleId="843">
    <w:name w:val="index 4"/>
    <w:basedOn w:val="820"/>
    <w:next w:val="820"/>
    <w:uiPriority w:val="99"/>
    <w:unhideWhenUsed/>
    <w:qFormat/>
    <w:pPr>
      <w:ind w:left="600"/>
    </w:pPr>
    <w:rPr>
      <w:rFonts w:ascii="宋体"/>
      <w:b/>
      <w:position w:val="-10"/>
      <w:sz w:val="24"/>
      <w:szCs w:val="20"/>
    </w:rPr>
  </w:style>
  <w:style w:type="paragraph" w:styleId="844">
    <w:name w:val="toc 5"/>
    <w:basedOn w:val="820"/>
    <w:next w:val="820"/>
    <w:uiPriority w:val="39"/>
    <w:unhideWhenUsed/>
    <w:qFormat/>
    <w:pPr>
      <w:ind w:left="1134"/>
      <w:spacing w:after="57"/>
    </w:pPr>
  </w:style>
  <w:style w:type="paragraph" w:styleId="845">
    <w:name w:val="toc 3"/>
    <w:basedOn w:val="820"/>
    <w:next w:val="820"/>
    <w:uiPriority w:val="39"/>
    <w:unhideWhenUsed/>
    <w:qFormat/>
    <w:pPr>
      <w:ind w:left="567"/>
      <w:spacing w:after="57"/>
    </w:pPr>
  </w:style>
  <w:style w:type="paragraph" w:styleId="846">
    <w:name w:val="Plain Text"/>
    <w:basedOn w:val="820"/>
    <w:link w:val="1065"/>
    <w:uiPriority w:val="0"/>
    <w:qFormat/>
    <w:rPr>
      <w:rFonts w:ascii="宋体" w:hAnsi="Courier New" w:cs="Courier New"/>
      <w:szCs w:val="21"/>
    </w:rPr>
  </w:style>
  <w:style w:type="paragraph" w:styleId="847">
    <w:name w:val="toc 8"/>
    <w:basedOn w:val="820"/>
    <w:next w:val="820"/>
    <w:uiPriority w:val="39"/>
    <w:unhideWhenUsed/>
    <w:qFormat/>
    <w:pPr>
      <w:ind w:left="1984"/>
      <w:spacing w:after="57"/>
    </w:pPr>
  </w:style>
  <w:style w:type="paragraph" w:styleId="848">
    <w:name w:val="Date"/>
    <w:basedOn w:val="820"/>
    <w:next w:val="820"/>
    <w:link w:val="1067"/>
    <w:uiPriority w:val="0"/>
    <w:qFormat/>
    <w:rPr>
      <w:sz w:val="24"/>
      <w:szCs w:val="20"/>
    </w:rPr>
  </w:style>
  <w:style w:type="paragraph" w:styleId="849">
    <w:name w:val="endnote text"/>
    <w:basedOn w:val="820"/>
    <w:link w:val="1052"/>
    <w:uiPriority w:val="99"/>
    <w:semiHidden/>
    <w:unhideWhenUsed/>
    <w:qFormat/>
    <w:rPr>
      <w:sz w:val="20"/>
    </w:rPr>
  </w:style>
  <w:style w:type="paragraph" w:styleId="850">
    <w:name w:val="Balloon Text"/>
    <w:basedOn w:val="820"/>
    <w:link w:val="1068"/>
    <w:uiPriority w:val="0"/>
    <w:qFormat/>
    <w:rPr>
      <w:sz w:val="18"/>
      <w:szCs w:val="18"/>
    </w:rPr>
  </w:style>
  <w:style w:type="paragraph" w:styleId="851">
    <w:name w:val="Footer"/>
    <w:basedOn w:val="820"/>
    <w:link w:val="1069"/>
    <w:uiPriority w:val="99"/>
    <w:qFormat/>
    <w:pPr>
      <w:jc w:val="left"/>
      <w:tabs>
        <w:tab w:val="center" w:pos="4153" w:leader="none"/>
        <w:tab w:val="right" w:pos="8306" w:leader="none"/>
      </w:tabs>
    </w:pPr>
    <w:rPr>
      <w:sz w:val="18"/>
      <w:szCs w:val="18"/>
    </w:rPr>
  </w:style>
  <w:style w:type="paragraph" w:styleId="852">
    <w:name w:val="Header"/>
    <w:basedOn w:val="820"/>
    <w:link w:val="1070"/>
    <w:uiPriority w:val="99"/>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20"/>
    <w:next w:val="820"/>
    <w:uiPriority w:val="39"/>
    <w:unhideWhenUsed/>
    <w:qFormat/>
    <w:pPr>
      <w:spacing w:after="57"/>
    </w:pPr>
  </w:style>
  <w:style w:type="paragraph" w:styleId="854">
    <w:name w:val="toc 4"/>
    <w:basedOn w:val="820"/>
    <w:next w:val="820"/>
    <w:uiPriority w:val="39"/>
    <w:unhideWhenUsed/>
    <w:qFormat/>
    <w:pPr>
      <w:ind w:left="850"/>
      <w:spacing w:after="57"/>
    </w:pPr>
  </w:style>
  <w:style w:type="paragraph" w:styleId="855">
    <w:name w:val="Subtitle"/>
    <w:basedOn w:val="820"/>
    <w:next w:val="820"/>
    <w:link w:val="918"/>
    <w:uiPriority w:val="11"/>
    <w:qFormat/>
    <w:pPr>
      <w:spacing w:before="200" w:after="200"/>
    </w:pPr>
    <w:rPr>
      <w:sz w:val="24"/>
    </w:rPr>
  </w:style>
  <w:style w:type="paragraph" w:styleId="856">
    <w:name w:val="footnote text"/>
    <w:basedOn w:val="820"/>
    <w:link w:val="1051"/>
    <w:uiPriority w:val="99"/>
    <w:semiHidden/>
    <w:unhideWhenUsed/>
    <w:qFormat/>
    <w:pPr>
      <w:spacing w:after="40"/>
    </w:pPr>
    <w:rPr>
      <w:sz w:val="18"/>
    </w:rPr>
  </w:style>
  <w:style w:type="paragraph" w:styleId="857">
    <w:name w:val="toc 6"/>
    <w:basedOn w:val="820"/>
    <w:next w:val="820"/>
    <w:uiPriority w:val="39"/>
    <w:unhideWhenUsed/>
    <w:qFormat/>
    <w:pPr>
      <w:ind w:left="1417"/>
      <w:spacing w:after="57"/>
    </w:pPr>
  </w:style>
  <w:style w:type="paragraph" w:styleId="858">
    <w:name w:val="table of figures"/>
    <w:basedOn w:val="820"/>
    <w:next w:val="820"/>
    <w:uiPriority w:val="99"/>
    <w:unhideWhenUsed/>
    <w:qFormat/>
  </w:style>
  <w:style w:type="paragraph" w:styleId="859">
    <w:name w:val="toc 2"/>
    <w:basedOn w:val="820"/>
    <w:next w:val="820"/>
    <w:uiPriority w:val="99"/>
    <w:semiHidden/>
    <w:qFormat/>
    <w:pPr>
      <w:ind w:left="420"/>
    </w:pPr>
    <w:rPr>
      <w:rFonts w:eastAsia="楷体_GB2312"/>
      <w:sz w:val="26"/>
      <w:szCs w:val="26"/>
    </w:rPr>
  </w:style>
  <w:style w:type="paragraph" w:styleId="860">
    <w:name w:val="toc 9"/>
    <w:basedOn w:val="820"/>
    <w:next w:val="820"/>
    <w:uiPriority w:val="39"/>
    <w:unhideWhenUsed/>
    <w:qFormat/>
    <w:pPr>
      <w:ind w:left="2268"/>
      <w:spacing w:after="57"/>
    </w:pPr>
  </w:style>
  <w:style w:type="paragraph" w:styleId="861">
    <w:name w:val="Body Text 2"/>
    <w:basedOn w:val="820"/>
    <w:link w:val="1076"/>
    <w:uiPriority w:val="0"/>
    <w:qFormat/>
    <w:pPr>
      <w:spacing w:after="120" w:line="480" w:lineRule="auto"/>
    </w:pPr>
    <w:rPr>
      <w:rFonts w:ascii="Calibri" w:hAnsi="Calibri"/>
    </w:rPr>
  </w:style>
  <w:style w:type="paragraph" w:styleId="862">
    <w:name w:val="Normal (Web)"/>
    <w:basedOn w:val="820"/>
    <w:uiPriority w:val="99"/>
    <w:qFormat/>
    <w:pPr>
      <w:jc w:val="left"/>
      <w:spacing w:before="100" w:beforeAutospacing="1" w:after="100" w:afterAutospacing="1"/>
      <w:widowControl/>
    </w:pPr>
    <w:rPr>
      <w:sz w:val="24"/>
    </w:rPr>
  </w:style>
  <w:style w:type="paragraph" w:styleId="863">
    <w:name w:val="Title"/>
    <w:basedOn w:val="820"/>
    <w:next w:val="820"/>
    <w:link w:val="1077"/>
    <w:uiPriority w:val="0"/>
    <w:qFormat/>
    <w:pPr>
      <w:jc w:val="center"/>
      <w:spacing w:before="240" w:after="60" w:line="360" w:lineRule="auto"/>
      <w:outlineLvl w:val="0"/>
    </w:pPr>
    <w:rPr>
      <w:rFonts w:ascii="等线 Light" w:hAnsi="等线 Light"/>
      <w:b/>
      <w:bCs/>
      <w:sz w:val="32"/>
      <w:szCs w:val="32"/>
    </w:rPr>
  </w:style>
  <w:style w:type="paragraph" w:styleId="864">
    <w:name w:val="annotation subject"/>
    <w:basedOn w:val="839"/>
    <w:next w:val="839"/>
    <w:link w:val="1078"/>
    <w:uiPriority w:val="0"/>
    <w:qFormat/>
    <w:rPr>
      <w:b/>
      <w:bCs/>
    </w:rPr>
  </w:style>
  <w:style w:type="paragraph" w:styleId="865">
    <w:name w:val="Body Text First Indent"/>
    <w:basedOn w:val="840"/>
    <w:uiPriority w:val="0"/>
    <w:qFormat/>
    <w:pPr>
      <w:ind w:firstLine="420"/>
      <w:spacing w:line="360" w:lineRule="auto"/>
    </w:pPr>
    <w:rPr>
      <w:szCs w:val="21"/>
    </w:rPr>
  </w:style>
  <w:style w:type="table" w:styleId="866">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0"/>
    <w:qFormat/>
    <w:rPr>
      <w:b/>
      <w:bCs/>
    </w:rPr>
  </w:style>
  <w:style w:type="character" w:styleId="868">
    <w:name w:val="endnote reference"/>
    <w:basedOn w:val="830"/>
    <w:uiPriority w:val="99"/>
    <w:semiHidden/>
    <w:unhideWhenUsed/>
    <w:qFormat/>
    <w:rPr>
      <w:vertAlign w:val="superscript"/>
    </w:rPr>
  </w:style>
  <w:style w:type="character" w:styleId="869">
    <w:name w:val="page number"/>
    <w:uiPriority w:val="0"/>
    <w:qFormat/>
  </w:style>
  <w:style w:type="character" w:styleId="870">
    <w:name w:val="Emphasis"/>
    <w:uiPriority w:val="0"/>
    <w:qFormat/>
    <w:rPr>
      <w:i/>
      <w:iCs/>
    </w:rPr>
  </w:style>
  <w:style w:type="character" w:styleId="871">
    <w:name w:val="Hyperlink"/>
    <w:uiPriority w:val="99"/>
    <w:qFormat/>
    <w:rPr>
      <w:color w:val="auto"/>
      <w:u w:val="none"/>
    </w:rPr>
  </w:style>
  <w:style w:type="character" w:styleId="872">
    <w:name w:val="annotation reference"/>
    <w:uiPriority w:val="0"/>
    <w:qFormat/>
    <w:rPr>
      <w:sz w:val="21"/>
      <w:szCs w:val="21"/>
    </w:rPr>
  </w:style>
  <w:style w:type="character" w:styleId="873">
    <w:name w:val="footnote reference"/>
    <w:basedOn w:val="830"/>
    <w:uiPriority w:val="99"/>
    <w:unhideWhenUsed/>
    <w:qFormat/>
    <w:rPr>
      <w:vertAlign w:val="superscript"/>
    </w:rPr>
  </w:style>
  <w:style w:type="character" w:styleId="874" w:customStyle="1">
    <w:name w:val="标题 3 字符"/>
    <w:link w:val="823"/>
    <w:uiPriority w:val="9"/>
    <w:qFormat/>
    <w:rPr>
      <w:rFonts w:eastAsia="宋体"/>
      <w:b/>
      <w:bCs/>
      <w:sz w:val="32"/>
      <w:szCs w:val="32"/>
      <w:lang w:val="en-US" w:eastAsia="zh-CN" w:bidi="ar-SA"/>
    </w:rPr>
  </w:style>
  <w:style w:type="character" w:styleId="875" w:customStyle="1">
    <w:name w:val="标题 2 字符"/>
    <w:link w:val="822"/>
    <w:uiPriority w:val="0"/>
    <w:semiHidden/>
    <w:qFormat/>
    <w:rPr>
      <w:rFonts w:ascii="等线 Light" w:hAnsi="等线 Light" w:eastAsia="等线 Light" w:cs="Times New Roman"/>
      <w:b/>
      <w:bCs/>
      <w:sz w:val="32"/>
      <w:szCs w:val="32"/>
    </w:rPr>
  </w:style>
  <w:style w:type="paragraph" w:styleId="876" w:customStyle="1">
    <w:name w:val="首行缩进"/>
    <w:basedOn w:val="820"/>
    <w:uiPriority w:val="0"/>
    <w:qFormat/>
    <w:pPr>
      <w:spacing w:line="360" w:lineRule="auto"/>
    </w:pPr>
  </w:style>
  <w:style w:type="character" w:styleId="877" w:customStyle="1">
    <w:name w:val="Heading 5 Char"/>
    <w:basedOn w:val="830"/>
    <w:uiPriority w:val="9"/>
    <w:qFormat/>
    <w:rPr>
      <w:rFonts w:ascii="Arial" w:hAnsi="Arial" w:eastAsia="Arial" w:cs="Arial"/>
      <w:b/>
      <w:bCs/>
      <w:sz w:val="24"/>
      <w:szCs w:val="24"/>
    </w:rPr>
  </w:style>
  <w:style w:type="character" w:styleId="878" w:customStyle="1">
    <w:name w:val="Heading 7 Char"/>
    <w:basedOn w:val="830"/>
    <w:uiPriority w:val="9"/>
    <w:qFormat/>
    <w:rPr>
      <w:rFonts w:ascii="Arial" w:hAnsi="Arial" w:eastAsia="Arial" w:cs="Arial"/>
      <w:b/>
      <w:bCs/>
      <w:i/>
      <w:iCs/>
      <w:sz w:val="22"/>
      <w:szCs w:val="22"/>
    </w:rPr>
  </w:style>
  <w:style w:type="character" w:styleId="879" w:customStyle="1">
    <w:name w:val="Heading 9 Char"/>
    <w:basedOn w:val="830"/>
    <w:uiPriority w:val="9"/>
    <w:qFormat/>
    <w:rPr>
      <w:rFonts w:ascii="Arial" w:hAnsi="Arial" w:eastAsia="Arial" w:cs="Arial"/>
      <w:i/>
      <w:iCs/>
      <w:sz w:val="21"/>
      <w:szCs w:val="21"/>
    </w:rPr>
  </w:style>
  <w:style w:type="character" w:styleId="880" w:customStyle="1">
    <w:name w:val="Subtitle Char"/>
    <w:basedOn w:val="830"/>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table" w:styleId="883"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标题 4 字符"/>
    <w:link w:val="824"/>
    <w:uiPriority w:val="0"/>
    <w:semiHidden/>
    <w:qFormat/>
    <w:rPr>
      <w:rFonts w:ascii="等线 Light" w:hAnsi="等线 Light" w:eastAsia="等线 Light" w:cs="Times New Roman"/>
      <w:b/>
      <w:bCs/>
      <w:sz w:val="28"/>
      <w:szCs w:val="28"/>
    </w:rPr>
  </w:style>
  <w:style w:type="paragraph" w:styleId="906" w:customStyle="1">
    <w:name w:val="正文文本1"/>
    <w:basedOn w:val="907"/>
    <w:next w:val="820"/>
    <w:uiPriority w:val="0"/>
    <w:qFormat/>
    <w:pPr>
      <w:spacing w:after="120"/>
    </w:pPr>
    <w:rPr>
      <w:sz w:val="28"/>
    </w:rPr>
  </w:style>
  <w:style w:type="paragraph" w:styleId="907"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908" w:customStyle="1">
    <w:name w:val="Heading 1 Char"/>
    <w:basedOn w:val="830"/>
    <w:uiPriority w:val="9"/>
    <w:qFormat/>
    <w:rPr>
      <w:rFonts w:ascii="Arial" w:hAnsi="Arial" w:eastAsia="Arial" w:cs="Arial"/>
      <w:sz w:val="40"/>
      <w:szCs w:val="40"/>
    </w:rPr>
  </w:style>
  <w:style w:type="character" w:styleId="909" w:customStyle="1">
    <w:name w:val="Heading 2 Char"/>
    <w:basedOn w:val="830"/>
    <w:uiPriority w:val="9"/>
    <w:qFormat/>
    <w:rPr>
      <w:rFonts w:ascii="Arial" w:hAnsi="Arial" w:eastAsia="Arial" w:cs="Arial"/>
      <w:sz w:val="34"/>
    </w:rPr>
  </w:style>
  <w:style w:type="character" w:styleId="910" w:customStyle="1">
    <w:name w:val="Heading 3 Char"/>
    <w:basedOn w:val="830"/>
    <w:uiPriority w:val="9"/>
    <w:qFormat/>
    <w:rPr>
      <w:rFonts w:ascii="Arial" w:hAnsi="Arial" w:eastAsia="Arial" w:cs="Arial"/>
      <w:sz w:val="30"/>
      <w:szCs w:val="30"/>
    </w:rPr>
  </w:style>
  <w:style w:type="character" w:styleId="911" w:customStyle="1">
    <w:name w:val="Heading 4 Char"/>
    <w:basedOn w:val="830"/>
    <w:uiPriority w:val="9"/>
    <w:qFormat/>
    <w:rPr>
      <w:rFonts w:ascii="Arial" w:hAnsi="Arial" w:eastAsia="Arial" w:cs="Arial"/>
      <w:b/>
      <w:bCs/>
      <w:sz w:val="26"/>
      <w:szCs w:val="26"/>
    </w:rPr>
  </w:style>
  <w:style w:type="character" w:styleId="912" w:customStyle="1">
    <w:name w:val="标题 5 字符"/>
    <w:basedOn w:val="830"/>
    <w:link w:val="825"/>
    <w:uiPriority w:val="9"/>
    <w:qFormat/>
    <w:rPr>
      <w:rFonts w:ascii="Arial" w:hAnsi="Arial" w:eastAsia="Arial" w:cs="Arial"/>
      <w:b/>
      <w:bCs/>
      <w:sz w:val="24"/>
      <w:szCs w:val="24"/>
    </w:rPr>
  </w:style>
  <w:style w:type="character" w:styleId="913" w:customStyle="1">
    <w:name w:val="Heading 6 Char"/>
    <w:basedOn w:val="830"/>
    <w:uiPriority w:val="9"/>
    <w:qFormat/>
    <w:rPr>
      <w:rFonts w:ascii="Arial" w:hAnsi="Arial" w:eastAsia="Arial" w:cs="Arial"/>
      <w:b/>
      <w:bCs/>
      <w:sz w:val="22"/>
      <w:szCs w:val="22"/>
    </w:rPr>
  </w:style>
  <w:style w:type="character" w:styleId="914" w:customStyle="1">
    <w:name w:val="标题 7 字符"/>
    <w:basedOn w:val="830"/>
    <w:link w:val="827"/>
    <w:uiPriority w:val="9"/>
    <w:qFormat/>
    <w:rPr>
      <w:rFonts w:ascii="Arial" w:hAnsi="Arial" w:eastAsia="Arial" w:cs="Arial"/>
      <w:b/>
      <w:bCs/>
      <w:i/>
      <w:iCs/>
      <w:sz w:val="22"/>
      <w:szCs w:val="22"/>
    </w:rPr>
  </w:style>
  <w:style w:type="character" w:styleId="915" w:customStyle="1">
    <w:name w:val="Heading 8 Char"/>
    <w:basedOn w:val="830"/>
    <w:uiPriority w:val="9"/>
    <w:qFormat/>
    <w:rPr>
      <w:rFonts w:ascii="Arial" w:hAnsi="Arial" w:eastAsia="Arial" w:cs="Arial"/>
      <w:i/>
      <w:iCs/>
      <w:sz w:val="22"/>
      <w:szCs w:val="22"/>
    </w:rPr>
  </w:style>
  <w:style w:type="character" w:styleId="916" w:customStyle="1">
    <w:name w:val="标题 9 字符"/>
    <w:basedOn w:val="830"/>
    <w:link w:val="829"/>
    <w:uiPriority w:val="9"/>
    <w:qFormat/>
    <w:rPr>
      <w:rFonts w:ascii="Arial" w:hAnsi="Arial" w:eastAsia="Arial" w:cs="Arial"/>
      <w:i/>
      <w:iCs/>
      <w:sz w:val="21"/>
      <w:szCs w:val="21"/>
    </w:rPr>
  </w:style>
  <w:style w:type="character" w:styleId="917" w:customStyle="1">
    <w:name w:val="Title Char"/>
    <w:basedOn w:val="830"/>
    <w:uiPriority w:val="10"/>
    <w:qFormat/>
    <w:rPr>
      <w:sz w:val="48"/>
      <w:szCs w:val="48"/>
    </w:rPr>
  </w:style>
  <w:style w:type="character" w:styleId="918" w:customStyle="1">
    <w:name w:val="副标题 字符"/>
    <w:basedOn w:val="830"/>
    <w:link w:val="855"/>
    <w:uiPriority w:val="11"/>
    <w:qFormat/>
    <w:rPr>
      <w:sz w:val="24"/>
      <w:szCs w:val="24"/>
    </w:rPr>
  </w:style>
  <w:style w:type="paragraph" w:styleId="919">
    <w:name w:val="Quote"/>
    <w:basedOn w:val="820"/>
    <w:next w:val="820"/>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20"/>
    <w:next w:val="820"/>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basedOn w:val="830"/>
    <w:uiPriority w:val="99"/>
    <w:qFormat/>
  </w:style>
  <w:style w:type="character" w:styleId="924" w:customStyle="1">
    <w:name w:val="Footer Char"/>
    <w:basedOn w:val="830"/>
    <w:uiPriority w:val="99"/>
    <w:qFormat/>
  </w:style>
  <w:style w:type="character" w:styleId="925" w:customStyle="1">
    <w:name w:val="Caption Char"/>
    <w:uiPriority w:val="99"/>
    <w:qFormat/>
  </w:style>
  <w:style w:type="table" w:styleId="926"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7"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3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3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5" w:customStyle="1">
    <w:name w:val="Grid Table 4 - Accent 2"/>
    <w:basedOn w:val="8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6" w:customStyle="1">
    <w:name w:val="Grid Table 4 - Accent 3"/>
    <w:basedOn w:val="8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7" w:customStyle="1">
    <w:name w:val="Grid Table 4 - Accent 4"/>
    <w:basedOn w:val="8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8" w:customStyle="1">
    <w:name w:val="Grid Table 4 - Accent 5"/>
    <w:basedOn w:val="83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9" w:customStyle="1">
    <w:name w:val="Grid Table 4 - Accent 6"/>
    <w:basedOn w:val="8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0"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2"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3"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4"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5"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6"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7"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3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1" w:customStyle="1">
    <w:name w:val="Grid Table 6 Colorful - Accent 4"/>
    <w:basedOn w:val="8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3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3" w:customStyle="1">
    <w:name w:val="Grid Table 6 Colorful - Accent 6"/>
    <w:basedOn w:val="8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4"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3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3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3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3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3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0" w:customStyle="1">
    <w:name w:val="List Table 2 - Accent 2"/>
    <w:basedOn w:val="8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1" w:customStyle="1">
    <w:name w:val="List Table 2 - Accent 3"/>
    <w:basedOn w:val="8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2" w:customStyle="1">
    <w:name w:val="List Table 2 - Accent 4"/>
    <w:basedOn w:val="8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3" w:customStyle="1">
    <w:name w:val="List Table 2 - Accent 5"/>
    <w:basedOn w:val="83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4" w:customStyle="1">
    <w:name w:val="List Table 2 - Accent 6"/>
    <w:basedOn w:val="8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5"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3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3 - Accent 2"/>
    <w:basedOn w:val="8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3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2"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3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4" w:customStyle="1">
    <w:name w:val="List Table 4 - Accent 2"/>
    <w:basedOn w:val="8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5" w:customStyle="1">
    <w:name w:val="List Table 4 - Accent 3"/>
    <w:basedOn w:val="8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6" w:customStyle="1">
    <w:name w:val="List Table 4 - Accent 4"/>
    <w:basedOn w:val="8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7" w:customStyle="1">
    <w:name w:val="List Table 4 - Accent 5"/>
    <w:basedOn w:val="83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8" w:customStyle="1">
    <w:name w:val="List Table 4 - Accent 6"/>
    <w:basedOn w:val="8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9"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3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3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3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8" w:customStyle="1">
    <w:name w:val="List Table 6 Colorful - Accent 2"/>
    <w:basedOn w:val="8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9" w:customStyle="1">
    <w:name w:val="List Table 6 Colorful - Accent 3"/>
    <w:basedOn w:val="8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0" w:customStyle="1">
    <w:name w:val="List Table 6 Colorful - Accent 4"/>
    <w:basedOn w:val="8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1" w:customStyle="1">
    <w:name w:val="List Table 6 Colorful - Accent 5"/>
    <w:basedOn w:val="83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2" w:customStyle="1">
    <w:name w:val="List Table 6 Colorful - Accent 6"/>
    <w:basedOn w:val="8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3"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3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3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2"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6"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3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9" w:customStyle="1">
    <w:name w:val="Bordered &amp; Lined - Accent 2"/>
    <w:basedOn w:val="8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Bordered &amp; Lined - Accent 3"/>
    <w:basedOn w:val="8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Bordered &amp; Lined - Accent 4"/>
    <w:basedOn w:val="8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Bordered &amp; Lined - Accent 5"/>
    <w:basedOn w:val="83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3" w:customStyle="1">
    <w:name w:val="Bordered &amp; Lined - Accent 6"/>
    <w:basedOn w:val="8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3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6" w:customStyle="1">
    <w:name w:val="Bordered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7" w:customStyle="1">
    <w:name w:val="Bordered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8" w:customStyle="1">
    <w:name w:val="Bordered - Accent 4"/>
    <w:basedOn w:val="8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9" w:customStyle="1">
    <w:name w:val="Bordered - Accent 5"/>
    <w:basedOn w:val="8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0" w:customStyle="1">
    <w:name w:val="Bordered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1" w:customStyle="1">
    <w:name w:val="脚注文本 字符"/>
    <w:link w:val="856"/>
    <w:uiPriority w:val="99"/>
    <w:qFormat/>
    <w:rPr>
      <w:sz w:val="18"/>
    </w:rPr>
  </w:style>
  <w:style w:type="character" w:styleId="1052" w:customStyle="1">
    <w:name w:val="尾注文本 字符"/>
    <w:link w:val="849"/>
    <w:uiPriority w:val="99"/>
    <w:qFormat/>
    <w:rPr>
      <w:sz w:val="20"/>
    </w:rPr>
  </w:style>
  <w:style w:type="paragraph" w:styleId="1053" w:customStyle="1">
    <w:name w:val="TOC 标题1"/>
    <w:uiPriority w:val="39"/>
    <w:unhideWhenUsed/>
    <w:qFormat/>
    <w:rPr>
      <w:rFonts w:hint="default" w:ascii="Times New Roman" w:hAnsi="Times New Roman" w:eastAsia="宋体" w:cs="Times New Roman"/>
      <w:lang w:val="en-US" w:eastAsia="zh-CN" w:bidi="ar-SA"/>
    </w:rPr>
  </w:style>
  <w:style w:type="paragraph" w:styleId="1054" w:customStyle="1">
    <w:name w:val="正文文本11"/>
    <w:basedOn w:val="820"/>
    <w:uiPriority w:val="99"/>
    <w:qFormat/>
    <w:rPr>
      <w:rFonts w:ascii="楷体_GB2312" w:hAnsi="宋体" w:eastAsia="楷体_GB2312"/>
      <w:sz w:val="28"/>
      <w:szCs w:val="28"/>
    </w:rPr>
  </w:style>
  <w:style w:type="character" w:styleId="1055" w:customStyle="1">
    <w:name w:val="标题 1 字符"/>
    <w:link w:val="821"/>
    <w:uiPriority w:val="0"/>
    <w:qFormat/>
    <w:rPr>
      <w:b/>
      <w:bCs/>
      <w:sz w:val="21"/>
      <w:szCs w:val="44"/>
    </w:rPr>
  </w:style>
  <w:style w:type="character" w:styleId="1056" w:customStyle="1">
    <w:name w:val="标题 6 字符"/>
    <w:link w:val="826"/>
    <w:uiPriority w:val="0"/>
    <w:qFormat/>
    <w:rPr>
      <w:rFonts w:ascii="等线 Light" w:hAnsi="等线 Light" w:eastAsia="等线 Light" w:cs="Times New Roman"/>
      <w:b/>
      <w:bCs/>
      <w:sz w:val="24"/>
      <w:szCs w:val="24"/>
    </w:rPr>
  </w:style>
  <w:style w:type="character" w:styleId="1057" w:customStyle="1">
    <w:name w:val="标题 8 字符"/>
    <w:link w:val="828"/>
    <w:uiPriority w:val="0"/>
    <w:semiHidden/>
    <w:qFormat/>
    <w:rPr>
      <w:rFonts w:ascii="等线 Light" w:hAnsi="等线 Light" w:eastAsia="等线 Light" w:cs="Times New Roman"/>
      <w:sz w:val="24"/>
      <w:szCs w:val="24"/>
    </w:rPr>
  </w:style>
  <w:style w:type="paragraph" w:styleId="1058" w:customStyle="1">
    <w:name w:val="目录 71"/>
    <w:basedOn w:val="820"/>
    <w:next w:val="820"/>
    <w:uiPriority w:val="39"/>
    <w:unhideWhenUsed/>
    <w:qFormat/>
    <w:pPr>
      <w:ind w:left="2520"/>
    </w:pPr>
    <w:rPr>
      <w:rFonts w:ascii="等线" w:hAnsi="等线" w:eastAsia="等线"/>
      <w:szCs w:val="22"/>
    </w:rPr>
  </w:style>
  <w:style w:type="character" w:styleId="1059" w:customStyle="1">
    <w:name w:val="正文缩进 字符"/>
    <w:link w:val="834"/>
    <w:uiPriority w:val="0"/>
    <w:qFormat/>
    <w:rPr>
      <w:sz w:val="21"/>
    </w:rPr>
  </w:style>
  <w:style w:type="character" w:styleId="1060" w:customStyle="1">
    <w:name w:val="文档结构图 字符"/>
    <w:link w:val="838"/>
    <w:uiPriority w:val="0"/>
    <w:qFormat/>
    <w:rPr>
      <w:sz w:val="21"/>
      <w:szCs w:val="24"/>
      <w:shd w:val="clear" w:color="auto" w:fill="000080"/>
    </w:rPr>
  </w:style>
  <w:style w:type="character" w:styleId="1061" w:customStyle="1">
    <w:name w:val="批注文字 字符"/>
    <w:link w:val="839"/>
    <w:uiPriority w:val="0"/>
    <w:qFormat/>
    <w:rPr>
      <w:sz w:val="21"/>
      <w:szCs w:val="24"/>
    </w:rPr>
  </w:style>
  <w:style w:type="character" w:styleId="1062" w:customStyle="1">
    <w:name w:val="正文文本 字符"/>
    <w:link w:val="840"/>
    <w:uiPriority w:val="1"/>
    <w:qFormat/>
    <w:rPr>
      <w:sz w:val="21"/>
      <w:szCs w:val="24"/>
    </w:rPr>
  </w:style>
  <w:style w:type="paragraph" w:styleId="1063" w:customStyle="1">
    <w:name w:val="目录 51"/>
    <w:basedOn w:val="820"/>
    <w:next w:val="820"/>
    <w:uiPriority w:val="39"/>
    <w:unhideWhenUsed/>
    <w:qFormat/>
    <w:pPr>
      <w:ind w:left="1680"/>
    </w:pPr>
    <w:rPr>
      <w:rFonts w:ascii="等线" w:hAnsi="等线" w:eastAsia="等线"/>
      <w:szCs w:val="22"/>
    </w:rPr>
  </w:style>
  <w:style w:type="paragraph" w:styleId="1064" w:customStyle="1">
    <w:name w:val="目录 31"/>
    <w:basedOn w:val="820"/>
    <w:next w:val="820"/>
    <w:uiPriority w:val="39"/>
    <w:unhideWhenUsed/>
    <w:qFormat/>
    <w:pPr>
      <w:ind w:left="440"/>
      <w:jc w:val="left"/>
      <w:spacing w:after="100" w:line="259" w:lineRule="auto"/>
      <w:widowControl/>
    </w:pPr>
    <w:rPr>
      <w:rFonts w:ascii="等线" w:hAnsi="等线" w:eastAsia="等线"/>
      <w:sz w:val="22"/>
      <w:szCs w:val="22"/>
    </w:rPr>
  </w:style>
  <w:style w:type="character" w:styleId="1065" w:customStyle="1">
    <w:name w:val="纯文本 字符"/>
    <w:link w:val="846"/>
    <w:uiPriority w:val="0"/>
    <w:qFormat/>
    <w:rPr>
      <w:rFonts w:ascii="宋体" w:hAnsi="Courier New" w:cs="Courier New"/>
      <w:sz w:val="21"/>
      <w:szCs w:val="21"/>
    </w:rPr>
  </w:style>
  <w:style w:type="paragraph" w:styleId="1066" w:customStyle="1">
    <w:name w:val="目录 81"/>
    <w:basedOn w:val="820"/>
    <w:next w:val="820"/>
    <w:uiPriority w:val="39"/>
    <w:unhideWhenUsed/>
    <w:qFormat/>
    <w:pPr>
      <w:ind w:left="2940"/>
    </w:pPr>
    <w:rPr>
      <w:rFonts w:ascii="等线" w:hAnsi="等线" w:eastAsia="等线"/>
      <w:szCs w:val="22"/>
    </w:rPr>
  </w:style>
  <w:style w:type="character" w:styleId="1067" w:customStyle="1">
    <w:name w:val="日期 字符"/>
    <w:link w:val="848"/>
    <w:uiPriority w:val="0"/>
    <w:qFormat/>
    <w:rPr>
      <w:sz w:val="24"/>
    </w:rPr>
  </w:style>
  <w:style w:type="character" w:styleId="1068" w:customStyle="1">
    <w:name w:val="批注框文本 字符"/>
    <w:link w:val="850"/>
    <w:uiPriority w:val="0"/>
    <w:qFormat/>
    <w:rPr>
      <w:sz w:val="18"/>
      <w:szCs w:val="18"/>
    </w:rPr>
  </w:style>
  <w:style w:type="character" w:styleId="1069" w:customStyle="1">
    <w:name w:val="页脚 字符"/>
    <w:link w:val="851"/>
    <w:uiPriority w:val="99"/>
    <w:qFormat/>
    <w:rPr>
      <w:sz w:val="18"/>
      <w:szCs w:val="18"/>
    </w:rPr>
  </w:style>
  <w:style w:type="character" w:styleId="1070" w:customStyle="1">
    <w:name w:val="页眉 字符"/>
    <w:link w:val="852"/>
    <w:uiPriority w:val="99"/>
    <w:qFormat/>
    <w:rPr>
      <w:sz w:val="18"/>
      <w:szCs w:val="18"/>
    </w:rPr>
  </w:style>
  <w:style w:type="paragraph" w:styleId="1071" w:customStyle="1">
    <w:name w:val="目录 11"/>
    <w:basedOn w:val="820"/>
    <w:next w:val="820"/>
    <w:uiPriority w:val="39"/>
    <w:qFormat/>
    <w:rPr>
      <w:rFonts w:ascii="仿宋_GB2312" w:eastAsia="仿宋_GB2312"/>
      <w:sz w:val="24"/>
    </w:rPr>
  </w:style>
  <w:style w:type="paragraph" w:styleId="1072" w:customStyle="1">
    <w:name w:val="目录 41"/>
    <w:basedOn w:val="820"/>
    <w:next w:val="820"/>
    <w:uiPriority w:val="39"/>
    <w:unhideWhenUsed/>
    <w:qFormat/>
    <w:pPr>
      <w:ind w:left="1260"/>
    </w:pPr>
    <w:rPr>
      <w:rFonts w:ascii="等线" w:hAnsi="等线" w:eastAsia="等线"/>
      <w:szCs w:val="22"/>
    </w:rPr>
  </w:style>
  <w:style w:type="paragraph" w:styleId="1073" w:customStyle="1">
    <w:name w:val="目录 61"/>
    <w:basedOn w:val="820"/>
    <w:next w:val="820"/>
    <w:uiPriority w:val="39"/>
    <w:unhideWhenUsed/>
    <w:qFormat/>
    <w:pPr>
      <w:ind w:left="2100"/>
    </w:pPr>
    <w:rPr>
      <w:rFonts w:ascii="等线" w:hAnsi="等线" w:eastAsia="等线"/>
      <w:szCs w:val="22"/>
    </w:rPr>
  </w:style>
  <w:style w:type="paragraph" w:styleId="1074" w:customStyle="1">
    <w:name w:val="目录 21"/>
    <w:basedOn w:val="820"/>
    <w:next w:val="820"/>
    <w:uiPriority w:val="39"/>
    <w:unhideWhenUsed/>
    <w:qFormat/>
    <w:pPr>
      <w:ind w:left="220"/>
      <w:jc w:val="left"/>
      <w:spacing w:after="100" w:line="259" w:lineRule="auto"/>
      <w:widowControl/>
    </w:pPr>
    <w:rPr>
      <w:rFonts w:ascii="等线" w:hAnsi="等线" w:eastAsia="等线"/>
      <w:sz w:val="22"/>
      <w:szCs w:val="22"/>
    </w:rPr>
  </w:style>
  <w:style w:type="paragraph" w:styleId="1075" w:customStyle="1">
    <w:name w:val="目录 91"/>
    <w:basedOn w:val="820"/>
    <w:next w:val="820"/>
    <w:uiPriority w:val="39"/>
    <w:unhideWhenUsed/>
    <w:qFormat/>
    <w:pPr>
      <w:ind w:left="3360"/>
    </w:pPr>
    <w:rPr>
      <w:rFonts w:ascii="等线" w:hAnsi="等线" w:eastAsia="等线"/>
      <w:szCs w:val="22"/>
    </w:rPr>
  </w:style>
  <w:style w:type="character" w:styleId="1076" w:customStyle="1">
    <w:name w:val="正文文本 2 字符"/>
    <w:link w:val="861"/>
    <w:uiPriority w:val="0"/>
    <w:qFormat/>
    <w:rPr>
      <w:rFonts w:ascii="Calibri" w:hAnsi="Calibri"/>
      <w:sz w:val="21"/>
      <w:szCs w:val="24"/>
    </w:rPr>
  </w:style>
  <w:style w:type="character" w:styleId="1077" w:customStyle="1">
    <w:name w:val="标题 字符"/>
    <w:link w:val="863"/>
    <w:uiPriority w:val="0"/>
    <w:qFormat/>
    <w:rPr>
      <w:rFonts w:ascii="等线 Light" w:hAnsi="等线 Light" w:eastAsia="宋体" w:cs="Times New Roman"/>
      <w:b/>
      <w:bCs/>
      <w:sz w:val="32"/>
      <w:szCs w:val="32"/>
    </w:rPr>
  </w:style>
  <w:style w:type="character" w:styleId="1078" w:customStyle="1">
    <w:name w:val="批注主题 字符"/>
    <w:link w:val="864"/>
    <w:uiPriority w:val="0"/>
    <w:qFormat/>
    <w:rPr>
      <w:b/>
      <w:bCs/>
      <w:sz w:val="21"/>
      <w:szCs w:val="24"/>
    </w:rPr>
  </w:style>
  <w:style w:type="character" w:styleId="1079" w:customStyle="1">
    <w:name w:val="p0 Char"/>
    <w:link w:val="1080"/>
    <w:uiPriority w:val="0"/>
    <w:qFormat/>
    <w:rPr>
      <w:rFonts w:eastAsia="宋体"/>
      <w:sz w:val="21"/>
      <w:szCs w:val="21"/>
      <w:lang w:val="en-US" w:eastAsia="zh-CN" w:bidi="ar-SA"/>
    </w:rPr>
  </w:style>
  <w:style w:type="paragraph" w:styleId="1080" w:customStyle="1">
    <w:name w:val="p0"/>
    <w:basedOn w:val="820"/>
    <w:link w:val="1079"/>
    <w:uiPriority w:val="0"/>
    <w:qFormat/>
    <w:pPr>
      <w:widowControl/>
    </w:pPr>
    <w:rPr>
      <w:szCs w:val="21"/>
    </w:rPr>
  </w:style>
  <w:style w:type="character" w:styleId="1081" w:customStyle="1">
    <w:name w:val="标题 2 Char Char Char"/>
    <w:uiPriority w:val="0"/>
    <w:qFormat/>
    <w:rPr>
      <w:rFonts w:ascii="Arial" w:hAnsi="Arial" w:eastAsia="黑体"/>
      <w:b/>
      <w:bCs/>
      <w:sz w:val="32"/>
      <w:szCs w:val="32"/>
      <w:lang w:val="en-US" w:eastAsia="zh-CN" w:bidi="ar-SA"/>
    </w:rPr>
  </w:style>
  <w:style w:type="character" w:styleId="1082" w:customStyle="1">
    <w:name w:val="NormalCharacter"/>
    <w:uiPriority w:val="0"/>
    <w:semiHidden/>
    <w:qFormat/>
  </w:style>
  <w:style w:type="paragraph" w:styleId="1083" w:customStyle="1">
    <w:name w:val="标题 21"/>
    <w:basedOn w:val="820"/>
    <w:next w:val="820"/>
    <w:uiPriority w:val="0"/>
    <w:qFormat/>
    <w:pPr>
      <w:jc w:val="center"/>
      <w:keepNext/>
      <w:widowControl/>
    </w:pPr>
    <w:rPr>
      <w:rFonts w:ascii="楷体_GB2312" w:eastAsia="楷体_GB2312"/>
      <w:sz w:val="18"/>
      <w:szCs w:val="20"/>
    </w:rPr>
  </w:style>
  <w:style w:type="paragraph" w:styleId="1084" w:customStyle="1">
    <w:name w:val="TOC 标题11"/>
    <w:basedOn w:val="821"/>
    <w:next w:val="82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样式1"/>
    <w:basedOn w:val="821"/>
    <w:link w:val="1087"/>
    <w:uiPriority w:val="0"/>
    <w:qFormat/>
    <w:pPr>
      <w:ind w:left="210" w:right="210"/>
    </w:pPr>
  </w:style>
  <w:style w:type="character" w:styleId="1087" w:customStyle="1">
    <w:name w:val="样式1 字符"/>
    <w:link w:val="1086"/>
    <w:uiPriority w:val="0"/>
    <w:qFormat/>
  </w:style>
  <w:style w:type="paragraph" w:styleId="1088" w:customStyle="1">
    <w:name w:val="标题 211"/>
    <w:basedOn w:val="82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9" w:customStyle="1">
    <w:name w:val="列出段落1"/>
    <w:basedOn w:val="820"/>
    <w:uiPriority w:val="1"/>
    <w:qFormat/>
    <w:pPr>
      <w:ind w:left="400" w:firstLine="420"/>
      <w:jc w:val="left"/>
    </w:pPr>
    <w:rPr>
      <w:rFonts w:ascii="宋体" w:hAnsi="宋体" w:cs="宋体"/>
      <w:sz w:val="22"/>
      <w:szCs w:val="22"/>
      <w:lang w:val="zh-CN" w:bidi="zh-CN"/>
    </w:rPr>
  </w:style>
  <w:style w:type="paragraph" w:styleId="1090" w:customStyle="1">
    <w:name w:val="Table Paragraph"/>
    <w:basedOn w:val="820"/>
    <w:uiPriority w:val="1"/>
    <w:qFormat/>
    <w:pPr>
      <w:jc w:val="left"/>
    </w:pPr>
    <w:rPr>
      <w:rFonts w:ascii="宋体" w:hAnsi="宋体" w:cs="宋体"/>
      <w:sz w:val="22"/>
      <w:szCs w:val="22"/>
      <w:lang w:val="zh-CN" w:bidi="zh-CN"/>
    </w:rPr>
  </w:style>
  <w:style w:type="character" w:styleId="1091" w:customStyle="1">
    <w:name w:val="ask-title2"/>
    <w:uiPriority w:val="0"/>
    <w:qFormat/>
  </w:style>
  <w:style w:type="paragraph" w:styleId="1092" w:customStyle="1">
    <w:name w:val="列出段落2"/>
    <w:basedOn w:val="820"/>
    <w:uiPriority w:val="99"/>
    <w:unhideWhenUsed/>
    <w:qFormat/>
    <w:pPr>
      <w:ind w:firstLine="420"/>
      <w:jc w:val="left"/>
    </w:pPr>
    <w:rPr>
      <w:rFonts w:ascii="宋体"/>
      <w:sz w:val="20"/>
      <w:szCs w:val="20"/>
    </w:rPr>
  </w:style>
  <w:style w:type="paragraph" w:styleId="1093" w:customStyle="1">
    <w:name w:val="纯文本1"/>
    <w:basedOn w:val="820"/>
    <w:uiPriority w:val="0"/>
    <w:qFormat/>
    <w:rPr>
      <w:rFonts w:ascii="宋体" w:hAnsi="Courier New"/>
      <w:sz w:val="20"/>
      <w:szCs w:val="21"/>
    </w:rPr>
  </w:style>
  <w:style w:type="character" w:styleId="1094" w:customStyle="1">
    <w:name w:val="纯文本 Char2"/>
    <w:uiPriority w:val="0"/>
    <w:qFormat/>
    <w:rPr>
      <w:rFonts w:ascii="宋体" w:hAnsi="Courier New"/>
      <w:sz w:val="21"/>
    </w:rPr>
  </w:style>
  <w:style w:type="paragraph" w:styleId="1095" w:customStyle="1">
    <w:name w:val="列出段落11"/>
    <w:basedOn w:val="820"/>
    <w:uiPriority w:val="0"/>
    <w:qFormat/>
    <w:pPr>
      <w:ind w:firstLine="420"/>
      <w:spacing w:line="0" w:lineRule="atLeast"/>
    </w:pPr>
    <w:rPr>
      <w:rFonts w:eastAsia="微软雅黑"/>
      <w:sz w:val="20"/>
      <w:szCs w:val="20"/>
    </w:rPr>
  </w:style>
  <w:style w:type="character" w:styleId="1096" w:customStyle="1">
    <w:name w:val="纯文本 Char"/>
    <w:link w:val="1097"/>
    <w:uiPriority w:val="0"/>
    <w:qFormat/>
    <w:rPr>
      <w:rFonts w:ascii="宋体" w:hAnsi="Courier New"/>
    </w:rPr>
  </w:style>
  <w:style w:type="paragraph" w:styleId="1097" w:customStyle="1">
    <w:name w:val="纯文本2"/>
    <w:basedOn w:val="820"/>
    <w:link w:val="1096"/>
    <w:uiPriority w:val="0"/>
    <w:qFormat/>
    <w:pPr>
      <w:ind w:firstLine="200"/>
      <w:spacing w:line="360" w:lineRule="auto"/>
    </w:pPr>
    <w:rPr>
      <w:rFonts w:ascii="宋体" w:hAnsi="Courier New"/>
      <w:sz w:val="20"/>
      <w:szCs w:val="20"/>
    </w:rPr>
  </w:style>
  <w:style w:type="character" w:styleId="1098" w:customStyle="1">
    <w:name w:val="页脚 Char"/>
    <w:uiPriority w:val="0"/>
    <w:qFormat/>
    <w:rPr>
      <w:sz w:val="18"/>
      <w:szCs w:val="18"/>
    </w:rPr>
  </w:style>
  <w:style w:type="paragraph" w:styleId="1099" w:customStyle="1">
    <w:name w:val="_Style 83"/>
    <w:basedOn w:val="820"/>
    <w:next w:val="1089"/>
    <w:uiPriority w:val="99"/>
    <w:qFormat/>
    <w:pPr>
      <w:ind w:firstLine="420"/>
    </w:pPr>
  </w:style>
  <w:style w:type="character" w:styleId="1100">
    <w:name w:val="Placeholder Text"/>
    <w:basedOn w:val="830"/>
    <w:uiPriority w:val="99"/>
    <w:unhideWhenUsed/>
    <w:qFormat/>
    <w:rPr>
      <w:color w:val="808080"/>
    </w:rPr>
  </w:style>
  <w:style w:type="paragraph" w:styleId="1101" w:customStyle="1">
    <w:name w:val="pf0"/>
    <w:basedOn w:val="820"/>
    <w:uiPriority w:val="0"/>
    <w:qFormat/>
    <w:pPr>
      <w:jc w:val="left"/>
      <w:spacing w:before="100" w:beforeAutospacing="1" w:after="100" w:afterAutospacing="1"/>
      <w:widowControl/>
    </w:pPr>
    <w:rPr>
      <w:rFonts w:ascii="宋体" w:hAnsi="宋体" w:cs="宋体"/>
      <w:sz w:val="24"/>
    </w:rPr>
  </w:style>
  <w:style w:type="character" w:styleId="1102" w:customStyle="1">
    <w:name w:val="cf01"/>
    <w:basedOn w:val="830"/>
    <w:uiPriority w:val="0"/>
    <w:qFormat/>
    <w:rPr>
      <w:rFonts w:hint="eastAsia" w:ascii="Microsoft YaHei UI" w:hAnsi="Microsoft YaHei UI" w:eastAsia="Microsoft YaHei UI"/>
      <w:sz w:val="18"/>
      <w:szCs w:val="18"/>
    </w:rPr>
  </w:style>
  <w:style w:type="character" w:styleId="1103" w:customStyle="1">
    <w:name w:val="cf11"/>
    <w:basedOn w:val="830"/>
    <w:uiPriority w:val="0"/>
    <w:qFormat/>
    <w:rPr>
      <w:rFonts w:hint="eastAsia" w:ascii="Microsoft YaHei UI" w:hAnsi="Microsoft YaHei UI" w:eastAsia="Microsoft YaHei UI"/>
      <w:sz w:val="18"/>
      <w:szCs w:val="18"/>
    </w:rPr>
  </w:style>
  <w:style w:type="paragraph" w:styleId="1104">
    <w:name w:val="List Paragraph"/>
    <w:basedOn w:val="820"/>
    <w:uiPriority w:val="1"/>
    <w:qFormat/>
    <w:pPr>
      <w:ind w:firstLine="420"/>
    </w:pPr>
  </w:style>
  <w:style w:type="paragraph" w:styleId="1105" w:customStyle="1">
    <w:name w:val="标题1，章节第一层"/>
    <w:basedOn w:val="820"/>
    <w:next w:val="82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6" w:customStyle="1">
    <w:name w:val="标准文本"/>
    <w:basedOn w:val="820"/>
    <w:uiPriority w:val="0"/>
    <w:qFormat/>
    <w:pPr>
      <w:ind w:firstLine="480"/>
      <w:spacing w:line="360" w:lineRule="auto"/>
    </w:pPr>
    <w:rPr>
      <w:rFonts w:ascii="Calibri" w:hAnsi="Calibri" w:eastAsia="Calibri" w:cs="宋体"/>
      <w:sz w:val="24"/>
      <w:lang w:val="zh-CN"/>
    </w:rPr>
  </w:style>
  <w:style w:type="character" w:styleId="1107" w:customStyle="1">
    <w:name w:val="标准文本 Char Char"/>
    <w:uiPriority w:val="0"/>
    <w:qFormat/>
    <w:rPr>
      <w:rFonts w:eastAsia="宋体" w:cs="宋体"/>
      <w:sz w:val="24"/>
      <w:szCs w:val="24"/>
      <w:lang w:val="en-US" w:eastAsia="zh-CN" w:bidi="ar-SA"/>
    </w:rPr>
  </w:style>
  <w:style w:type="character" w:styleId="1108" w:customStyle="1">
    <w:name w:val="标准小四 Char Char"/>
    <w:uiPriority w:val="0"/>
    <w:qFormat/>
    <w:rPr>
      <w:rFonts w:ascii="Arial" w:hAnsi="Arial" w:eastAsia="宋体"/>
      <w:sz w:val="24"/>
      <w:szCs w:val="21"/>
      <w:lang w:val="en-US" w:eastAsia="zh-CN" w:bidi="ar-SA"/>
    </w:rPr>
  </w:style>
  <w:style w:type="character" w:styleId="1109" w:customStyle="1">
    <w:name w:val="标准文本 Char"/>
    <w:uiPriority w:val="0"/>
    <w:qFormat/>
    <w:rPr>
      <w:rFonts w:eastAsia="宋体" w:cs="宋体"/>
      <w:sz w:val="24"/>
      <w:szCs w:val="24"/>
      <w:lang w:val="en-US" w:eastAsia="zh-CN" w:bidi="ar-SA"/>
    </w:rPr>
  </w:style>
  <w:style w:type="character" w:styleId="1110" w:customStyle="1">
    <w:name w:val="未处理的提及1"/>
    <w:basedOn w:val="830"/>
    <w:uiPriority w:val="99"/>
    <w:semiHidden/>
    <w:unhideWhenUsed/>
    <w:qFormat/>
    <w:rPr>
      <w:color w:val="605e5c"/>
      <w:shd w:val="clear" w:color="auto" w:fill="e1dfdd"/>
    </w:rPr>
  </w:style>
  <w:style w:type="paragraph" w:styleId="1111" w:customStyle="1">
    <w:name w:val="列出段落3"/>
    <w:basedOn w:val="820"/>
    <w:uiPriority w:val="99"/>
    <w:qFormat/>
    <w:pPr>
      <w:ind w:firstLine="420"/>
    </w:pPr>
  </w:style>
  <w:style w:type="paragraph" w:styleId="111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1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14" w:customStyle="1">
    <w:name w:val="font41"/>
    <w:basedOn w:val="1115"/>
    <w:uiPriority w:val="0"/>
    <w:qFormat/>
    <w:rPr>
      <w:rFonts w:hint="default" w:ascii="方正仿宋_GBK" w:hAnsi="方正仿宋_GBK" w:eastAsia="方正仿宋_GBK" w:cs="方正仿宋_GBK"/>
      <w:b/>
      <w:bCs/>
      <w:color w:val="000000"/>
      <w:sz w:val="22"/>
      <w:szCs w:val="22"/>
      <w:u w:val="none"/>
    </w:rPr>
  </w:style>
  <w:style w:type="character" w:styleId="1115" w:customStyle="1">
    <w:name w:val="默认段落字体1"/>
    <w:uiPriority w:val="1"/>
    <w:unhideWhenUsed/>
    <w:qFormat/>
  </w:style>
  <w:style w:type="character" w:styleId="1116" w:customStyle="1">
    <w:name w:val="font31"/>
    <w:basedOn w:val="830"/>
    <w:uiPriority w:val="0"/>
    <w:qFormat/>
    <w:rPr>
      <w:rFonts w:hint="default" w:ascii="方正仿宋_GBK" w:hAnsi="方正仿宋_GBK" w:eastAsia="方正仿宋_GBK" w:cs="方正仿宋_GBK"/>
      <w:color w:val="000000"/>
      <w:sz w:val="22"/>
      <w:szCs w:val="22"/>
      <w:u w:val="none"/>
    </w:rPr>
  </w:style>
  <w:style w:type="character" w:styleId="1117" w:customStyle="1">
    <w:name w:val="不明显参考1"/>
    <w:uiPriority w:val="31"/>
    <w:qFormat/>
    <w:rPr>
      <w:smallCaps/>
    </w:rPr>
  </w:style>
  <w:style w:type="paragraph" w:styleId="1118"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19" w:customStyle="1">
    <w:name w:val="默认段落字体11"/>
    <w:uiPriority w:val="1"/>
    <w:unhideWhenUsed/>
    <w:qFormat/>
  </w:style>
  <w:style w:type="paragraph" w:styleId="112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2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24" w:customStyle="1">
    <w:name w:val="列表段落1"/>
    <w:basedOn w:val="820"/>
    <w:uiPriority w:val="99"/>
    <w:qFormat/>
    <w:pPr>
      <w:ind w:firstLine="420"/>
    </w:pPr>
  </w:style>
  <w:style w:type="character" w:styleId="1125" w:customStyle="1">
    <w:name w:val="font21"/>
    <w:basedOn w:val="1115"/>
    <w:uiPriority w:val="0"/>
    <w:qFormat/>
    <w:rPr>
      <w:rFonts w:hint="eastAsia" w:ascii="等线" w:hAnsi="等线" w:eastAsia="等线" w:cs="等线"/>
      <w:color w:val="000000"/>
      <w:sz w:val="21"/>
      <w:szCs w:val="21"/>
      <w:u w:val="none"/>
    </w:rPr>
  </w:style>
  <w:style w:type="character" w:styleId="1126" w:customStyle="1">
    <w:name w:val="font11"/>
    <w:basedOn w:val="830"/>
    <w:uiPriority w:val="0"/>
    <w:qFormat/>
    <w:rPr>
      <w:rFonts w:hint="eastAsia" w:ascii="宋体" w:hAnsi="宋体" w:eastAsia="宋体" w:cs="宋体"/>
      <w:color w:val="000000"/>
      <w:sz w:val="21"/>
      <w:szCs w:val="21"/>
      <w:u w:val="none"/>
    </w:rPr>
  </w:style>
  <w:style w:type="paragraph" w:styleId="1127" w:customStyle="1">
    <w:name w:val="null3"/>
    <w:hidden/>
    <w:uiPriority w:val="0"/>
    <w:qFormat/>
    <w:rPr>
      <w:rFonts w:hint="eastAsia" w:asciiTheme="minorHAnsi" w:hAnsiTheme="minorHAnsi" w:eastAsiaTheme="minorEastAsia" w:cstheme="minorBidi"/>
      <w:lang w:val="en-US" w:eastAsia="zh-CN" w:bidi="ar-SA"/>
    </w:rPr>
  </w:style>
  <w:style w:type="character" w:styleId="1128" w:customStyle="1">
    <w:name w:val="font112"/>
    <w:basedOn w:val="830"/>
    <w:uiPriority w:val="0"/>
    <w:qFormat/>
    <w:rPr>
      <w:rFonts w:ascii="宋体" w:hAnsi="宋体" w:eastAsia="宋体" w:cs="宋体"/>
      <w:color w:val="000000"/>
      <w:sz w:val="20"/>
      <w:szCs w:val="20"/>
      <w:u w:val="none"/>
    </w:rPr>
  </w:style>
  <w:style w:type="character" w:styleId="1129" w:customStyle="1">
    <w:name w:val="font171"/>
    <w:basedOn w:val="830"/>
    <w:uiPriority w:val="0"/>
    <w:qFormat/>
    <w:rPr>
      <w:rFonts w:hint="eastAsia" w:ascii="宋体" w:hAnsi="宋体" w:eastAsia="宋体" w:cs="宋体"/>
      <w:color w:val="0066cc"/>
      <w:sz w:val="20"/>
      <w:szCs w:val="20"/>
      <w:u w:val="none"/>
    </w:rPr>
  </w:style>
  <w:style w:type="character" w:styleId="1130" w:customStyle="1">
    <w:name w:val="font241"/>
    <w:basedOn w:val="830"/>
    <w:uiPriority w:val="0"/>
    <w:qFormat/>
    <w:rPr>
      <w:rFonts w:hint="eastAsia" w:ascii="宋体" w:hAnsi="宋体" w:eastAsia="宋体" w:cs="宋体"/>
      <w:color w:val="000000"/>
      <w:sz w:val="20"/>
      <w:szCs w:val="20"/>
      <w:u w:val="none"/>
    </w:rPr>
  </w:style>
  <w:style w:type="character" w:styleId="1131" w:customStyle="1">
    <w:name w:val="font251"/>
    <w:basedOn w:val="830"/>
    <w:uiPriority w:val="0"/>
    <w:qFormat/>
    <w:rPr>
      <w:rFonts w:ascii="宋体" w:hAnsi="宋体" w:eastAsia="宋体" w:cs="宋体"/>
      <w:color w:val="000000"/>
      <w:sz w:val="20"/>
      <w:szCs w:val="20"/>
      <w:u w:val="none"/>
    </w:rPr>
  </w:style>
  <w:style w:type="character" w:styleId="1132" w:customStyle="1">
    <w:name w:val="font261"/>
    <w:basedOn w:val="830"/>
    <w:uiPriority w:val="0"/>
    <w:qFormat/>
    <w:rPr>
      <w:rFonts w:hint="eastAsia" w:ascii="宋体" w:hAnsi="宋体" w:eastAsia="宋体" w:cs="宋体"/>
      <w:color w:val="000000"/>
      <w:sz w:val="21"/>
      <w:szCs w:val="21"/>
      <w:u w:val="none"/>
    </w:rPr>
  </w:style>
  <w:style w:type="character" w:styleId="1133" w:customStyle="1">
    <w:name w:val="font91"/>
    <w:basedOn w:val="1115"/>
    <w:uiPriority w:val="0"/>
    <w:qFormat/>
    <w:rPr>
      <w:rFonts w:hint="eastAsia" w:ascii="宋体" w:hAnsi="宋体" w:eastAsia="宋体" w:cs="宋体"/>
      <w:b/>
      <w:bCs/>
      <w:color w:val="000000"/>
      <w:sz w:val="20"/>
      <w:szCs w:val="20"/>
      <w:u w:val="none"/>
    </w:rPr>
  </w:style>
  <w:style w:type="paragraph" w:styleId="1134" w:customStyle="1">
    <w:name w:val="索引 41"/>
    <w:basedOn w:val="820"/>
    <w:next w:val="820"/>
    <w:uiPriority w:val="0"/>
    <w:semiHidden/>
    <w:qFormat/>
    <w:pPr>
      <w:ind w:left="1260"/>
    </w:pPr>
    <w:rPr>
      <w:rFonts w:ascii="Calibri" w:hAnsi="Calibri" w:eastAsia="Calibri" w:cs="宋体"/>
      <w:sz w:val="20"/>
      <w:lang w:val="zh-CN"/>
    </w:rPr>
  </w:style>
  <w:style w:type="paragraph" w:styleId="113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12</cp:revision>
  <dcterms:created xsi:type="dcterms:W3CDTF">2024-10-22T06:28:00Z</dcterms:created>
  <dcterms:modified xsi:type="dcterms:W3CDTF">2025-12-24T07:49:33Z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32718FE14819498DB8427B29019C7DC2_13</vt:lpwstr>
  </property>
  <property fmtid="{D5CDD505-2E9C-101B-9397-08002B2CF9AE}" pid="4" name="KSOTemplateDocerSaveRecord">
    <vt:lpwstr>eyJoZGlkIjoiYTYxYTUwMzZjYTA1ODY5YjZhMzAxMWYyNTdjYTg1MDYiLCJ1c2VySWQiOiI1NjIxNTM0NjIifQ==</vt:lpwstr>
  </property>
</Properties>
</file>